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E31D7C" w:rsidP="00CF1133">
      <w:pPr>
        <w:ind w:left="-710" w:firstLine="695"/>
        <w:rPr>
          <w:b/>
          <w:bCs/>
        </w:rPr>
      </w:pPr>
    </w:p>
    <w:p w:rsidR="00CF1133" w:rsidRDefault="00E31D7C" w:rsidP="00CF1133">
      <w:pPr>
        <w:ind w:left="-710" w:firstLine="695"/>
        <w:rPr>
          <w:b/>
          <w:bCs/>
        </w:rPr>
      </w:pPr>
      <w:r>
        <w:rPr>
          <w:b/>
          <w:bCs/>
        </w:rPr>
        <w:t>LEP – Sub Committee</w:t>
      </w:r>
    </w:p>
    <w:p w:rsidR="00BE3AA8" w:rsidRDefault="00E31D7C" w:rsidP="00CF1133">
      <w:pPr>
        <w:ind w:left="-710" w:firstLine="695"/>
        <w:rPr>
          <w:b/>
          <w:bCs/>
        </w:rPr>
      </w:pPr>
    </w:p>
    <w:p w:rsidR="00BE3AA8" w:rsidRDefault="00E31D7C"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Growth Deal Management Board</w:t>
      </w:r>
      <w:r>
        <w:rPr>
          <w:rFonts w:eastAsia="Times New Roman" w:cs="Times New Roman"/>
          <w:b/>
          <w:color w:val="auto"/>
          <w:szCs w:val="20"/>
        </w:rPr>
        <w:fldChar w:fldCharType="end"/>
      </w:r>
    </w:p>
    <w:p w:rsidR="00CF1133" w:rsidRPr="00BC4466" w:rsidRDefault="00E31D7C" w:rsidP="00CF1133">
      <w:pPr>
        <w:spacing w:after="0" w:line="256" w:lineRule="auto"/>
        <w:ind w:left="0" w:firstLine="0"/>
        <w:rPr>
          <w:b/>
          <w:bCs/>
        </w:rPr>
      </w:pPr>
    </w:p>
    <w:p w:rsidR="00BC4466" w:rsidRPr="00BC4466" w:rsidRDefault="00E31D7C" w:rsidP="00CF1133">
      <w:pPr>
        <w:spacing w:after="0" w:line="256" w:lineRule="auto"/>
        <w:ind w:left="0" w:firstLine="0"/>
        <w:rPr>
          <w:b/>
          <w:bCs/>
        </w:rPr>
      </w:pPr>
      <w:r w:rsidRPr="00BC4466">
        <w:rPr>
          <w:b/>
        </w:rPr>
        <w:t xml:space="preserve">Private and Confidential: </w:t>
      </w:r>
      <w:r>
        <w:rPr>
          <w:b/>
        </w:rPr>
        <w:t>NO</w:t>
      </w:r>
    </w:p>
    <w:p w:rsidR="00BC4466" w:rsidRDefault="00E31D7C" w:rsidP="00CF1133">
      <w:pPr>
        <w:spacing w:after="0" w:line="256" w:lineRule="auto"/>
        <w:ind w:left="0" w:firstLine="0"/>
      </w:pPr>
    </w:p>
    <w:p w:rsidR="00A3358A" w:rsidRDefault="00E31D7C" w:rsidP="00A3358A">
      <w:r w:rsidRPr="00B959D4">
        <w:rPr>
          <w:b/>
        </w:rPr>
        <w:t>Date:</w:t>
      </w:r>
      <w:r>
        <w:t xml:space="preserve"> </w:t>
      </w:r>
      <w:r>
        <w:fldChar w:fldCharType="begin"/>
      </w:r>
      <w:r>
        <w:instrText xml:space="preserve"> DOCPROPERTY  MeetingDate  \* MERGEFORMAT </w:instrText>
      </w:r>
      <w:r>
        <w:fldChar w:fldCharType="separate"/>
      </w:r>
      <w:r>
        <w:t>Wednesday, 13 November 2019</w:t>
      </w:r>
      <w:r>
        <w:fldChar w:fldCharType="end"/>
      </w:r>
    </w:p>
    <w:p w:rsidR="00A3358A" w:rsidRDefault="00E31D7C" w:rsidP="00A3358A"/>
    <w:p w:rsidR="00A3358A" w:rsidRDefault="00E31D7C"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Growth Deal - Social Value Update Report</w:t>
      </w:r>
      <w:r>
        <w:rPr>
          <w:b/>
        </w:rPr>
        <w:fldChar w:fldCharType="end"/>
      </w:r>
    </w:p>
    <w:p w:rsidR="00A21269" w:rsidRDefault="00E31D7C" w:rsidP="00A3358A">
      <w:pPr>
        <w:ind w:left="0" w:firstLine="0"/>
      </w:pPr>
    </w:p>
    <w:p w:rsidR="00A21269" w:rsidRDefault="00E31D7C" w:rsidP="00A21269">
      <w:pPr>
        <w:ind w:left="-710" w:firstLine="695"/>
        <w:jc w:val="both"/>
        <w:rPr>
          <w:b/>
          <w:bCs/>
        </w:rPr>
      </w:pPr>
      <w:r>
        <w:rPr>
          <w:b/>
          <w:bCs/>
        </w:rPr>
        <w:t xml:space="preserve">Appendices A, B and C </w:t>
      </w:r>
      <w:r w:rsidR="0077253A">
        <w:rPr>
          <w:b/>
          <w:bCs/>
        </w:rPr>
        <w:t>r</w:t>
      </w:r>
      <w:r>
        <w:rPr>
          <w:b/>
          <w:bCs/>
        </w:rPr>
        <w:t>efer</w:t>
      </w:r>
    </w:p>
    <w:p w:rsidR="00A21269" w:rsidRDefault="00E31D7C" w:rsidP="00A21269">
      <w:pPr>
        <w:ind w:right="-873"/>
        <w:jc w:val="both"/>
        <w:rPr>
          <w:b/>
          <w:color w:val="auto"/>
        </w:rPr>
      </w:pPr>
    </w:p>
    <w:p w:rsidR="00A21269" w:rsidRDefault="00E31D7C" w:rsidP="00A21269">
      <w:pPr>
        <w:ind w:right="-873"/>
        <w:jc w:val="both"/>
        <w:rPr>
          <w:b/>
          <w:color w:val="auto"/>
        </w:rPr>
      </w:pPr>
      <w:r w:rsidRPr="00CD057D">
        <w:rPr>
          <w:b/>
          <w:color w:val="auto"/>
        </w:rPr>
        <w:t>Report Author:</w:t>
      </w:r>
      <w:r w:rsidRPr="00540C08">
        <w:rPr>
          <w:b/>
          <w:color w:val="auto"/>
        </w:rPr>
        <w:t xml:space="preserve"> </w:t>
      </w:r>
      <w:r>
        <w:rPr>
          <w:b/>
          <w:color w:val="auto"/>
        </w:rPr>
        <w:t>Martin Hill, Skills &amp; Employment Coordinator, Lancashire Skills Hub,</w:t>
      </w:r>
    </w:p>
    <w:p w:rsidR="00A21269" w:rsidRPr="00CD057D" w:rsidRDefault="00E31D7C" w:rsidP="00A21269">
      <w:pPr>
        <w:ind w:right="-873"/>
        <w:jc w:val="both"/>
        <w:rPr>
          <w:rStyle w:val="Hyperlink"/>
          <w:color w:val="auto"/>
        </w:rPr>
      </w:pPr>
      <w:r>
        <w:rPr>
          <w:b/>
          <w:color w:val="auto"/>
        </w:rPr>
        <w:t>martin.hill@lancashirelep.co.uk</w:t>
      </w:r>
    </w:p>
    <w:p w:rsidR="00A21269" w:rsidRDefault="00E31D7C" w:rsidP="00A21269">
      <w:pPr>
        <w:ind w:left="1982" w:right="-873" w:firstLine="0"/>
        <w:jc w:val="both"/>
        <w:rPr>
          <w:b/>
        </w:rPr>
      </w:pPr>
    </w:p>
    <w:p w:rsidR="00A21269" w:rsidRDefault="00E31D7C" w:rsidP="00A21269">
      <w:pPr>
        <w:pStyle w:val="Heading6"/>
        <w:pBdr>
          <w:top w:val="single" w:sz="4" w:space="1" w:color="auto"/>
          <w:left w:val="single" w:sz="4" w:space="4" w:color="auto"/>
          <w:bottom w:val="single" w:sz="4" w:space="1" w:color="auto"/>
          <w:right w:val="single" w:sz="4" w:space="4" w:color="auto"/>
        </w:pBdr>
        <w:jc w:val="both"/>
        <w:rPr>
          <w:rFonts w:ascii="Arial" w:hAnsi="Arial"/>
          <w:b/>
          <w:color w:val="auto"/>
        </w:rPr>
      </w:pPr>
    </w:p>
    <w:p w:rsidR="00A21269" w:rsidRDefault="00E31D7C" w:rsidP="00A21269">
      <w:pPr>
        <w:pBdr>
          <w:top w:val="single" w:sz="4" w:space="1" w:color="auto"/>
          <w:left w:val="single" w:sz="4" w:space="4" w:color="auto"/>
          <w:bottom w:val="single" w:sz="4" w:space="1" w:color="auto"/>
          <w:right w:val="single" w:sz="4" w:space="4" w:color="auto"/>
        </w:pBdr>
        <w:jc w:val="both"/>
        <w:rPr>
          <w:b/>
        </w:rPr>
      </w:pPr>
      <w:r>
        <w:rPr>
          <w:b/>
        </w:rPr>
        <w:t xml:space="preserve">Executive Summary </w:t>
      </w:r>
    </w:p>
    <w:p w:rsidR="00A21269" w:rsidRDefault="00E31D7C" w:rsidP="00A21269">
      <w:pPr>
        <w:pBdr>
          <w:top w:val="single" w:sz="4" w:space="1" w:color="auto"/>
          <w:left w:val="single" w:sz="4" w:space="4" w:color="auto"/>
          <w:bottom w:val="single" w:sz="4" w:space="1" w:color="auto"/>
          <w:right w:val="single" w:sz="4" w:space="4" w:color="auto"/>
        </w:pBdr>
        <w:jc w:val="both"/>
        <w:rPr>
          <w:b/>
        </w:rPr>
      </w:pPr>
    </w:p>
    <w:p w:rsidR="00A21269" w:rsidRDefault="00E31D7C" w:rsidP="00A21269">
      <w:pPr>
        <w:pBdr>
          <w:top w:val="single" w:sz="4" w:space="1" w:color="auto"/>
          <w:left w:val="single" w:sz="4" w:space="4" w:color="auto"/>
          <w:bottom w:val="single" w:sz="4" w:space="1" w:color="auto"/>
          <w:right w:val="single" w:sz="4" w:space="4" w:color="auto"/>
        </w:pBdr>
        <w:ind w:left="0" w:firstLine="0"/>
        <w:jc w:val="both"/>
      </w:pPr>
      <w:r>
        <w:t>The purpose of this report is to provide a summary of progress made across the social value metrics, since the last report to the Growth Deal Management Board in December 2018.</w:t>
      </w:r>
    </w:p>
    <w:p w:rsidR="00A21269" w:rsidRDefault="00E31D7C" w:rsidP="00A21269">
      <w:pPr>
        <w:pBdr>
          <w:top w:val="single" w:sz="4" w:space="1" w:color="auto"/>
          <w:left w:val="single" w:sz="4" w:space="4" w:color="auto"/>
          <w:bottom w:val="single" w:sz="4" w:space="1" w:color="auto"/>
          <w:right w:val="single" w:sz="4" w:space="4" w:color="auto"/>
        </w:pBdr>
        <w:jc w:val="both"/>
        <w:rPr>
          <w:b/>
        </w:rPr>
      </w:pPr>
    </w:p>
    <w:p w:rsidR="00A21269" w:rsidRPr="00A3358A" w:rsidRDefault="00E31D7C" w:rsidP="00A21269">
      <w:pPr>
        <w:pStyle w:val="Heading5"/>
        <w:pBdr>
          <w:top w:val="single" w:sz="4" w:space="1" w:color="auto"/>
          <w:left w:val="single" w:sz="4" w:space="4" w:color="auto"/>
          <w:bottom w:val="single" w:sz="4" w:space="1" w:color="auto"/>
          <w:right w:val="single" w:sz="4" w:space="4" w:color="auto"/>
        </w:pBdr>
        <w:jc w:val="both"/>
        <w:rPr>
          <w:rFonts w:ascii="Arial" w:hAnsi="Arial"/>
          <w:b/>
          <w:color w:val="auto"/>
        </w:rPr>
      </w:pPr>
      <w:r w:rsidRPr="00A3358A">
        <w:rPr>
          <w:rFonts w:ascii="Arial" w:hAnsi="Arial"/>
          <w:b/>
          <w:color w:val="auto"/>
        </w:rPr>
        <w:t>Recommendation</w:t>
      </w:r>
    </w:p>
    <w:p w:rsidR="00A21269" w:rsidRDefault="00E31D7C" w:rsidP="00A21269">
      <w:pPr>
        <w:pBdr>
          <w:top w:val="single" w:sz="4" w:space="1" w:color="auto"/>
          <w:left w:val="single" w:sz="4" w:space="4" w:color="auto"/>
          <w:bottom w:val="single" w:sz="4" w:space="1" w:color="auto"/>
          <w:right w:val="single" w:sz="4" w:space="4" w:color="auto"/>
        </w:pBdr>
        <w:jc w:val="both"/>
      </w:pPr>
    </w:p>
    <w:p w:rsidR="00A21269" w:rsidRDefault="00E31D7C" w:rsidP="00A21269">
      <w:pPr>
        <w:pBdr>
          <w:top w:val="single" w:sz="4" w:space="1" w:color="auto"/>
          <w:left w:val="single" w:sz="4" w:space="4" w:color="auto"/>
          <w:bottom w:val="single" w:sz="4" w:space="1" w:color="auto"/>
          <w:right w:val="single" w:sz="4" w:space="4" w:color="auto"/>
        </w:pBdr>
        <w:ind w:left="0" w:firstLine="0"/>
        <w:jc w:val="both"/>
      </w:pPr>
      <w:r>
        <w:t>The committee are invited to comment on performance across the</w:t>
      </w:r>
      <w:r>
        <w:t xml:space="preserve"> social value metrics and the attached social value dashboard. </w:t>
      </w:r>
    </w:p>
    <w:p w:rsidR="00A21269" w:rsidRDefault="00E31D7C" w:rsidP="00A21269">
      <w:pPr>
        <w:pBdr>
          <w:top w:val="single" w:sz="4" w:space="1" w:color="auto"/>
          <w:left w:val="single" w:sz="4" w:space="4" w:color="auto"/>
          <w:bottom w:val="single" w:sz="4" w:space="1" w:color="auto"/>
          <w:right w:val="single" w:sz="4" w:space="4" w:color="auto"/>
        </w:pBdr>
        <w:ind w:left="0" w:firstLine="0"/>
        <w:jc w:val="both"/>
      </w:pPr>
    </w:p>
    <w:p w:rsidR="00A21269" w:rsidRDefault="00E31D7C" w:rsidP="00A21269">
      <w:pPr>
        <w:pBdr>
          <w:top w:val="single" w:sz="4" w:space="1" w:color="auto"/>
          <w:left w:val="single" w:sz="4" w:space="4" w:color="auto"/>
          <w:bottom w:val="single" w:sz="4" w:space="1" w:color="auto"/>
          <w:right w:val="single" w:sz="4" w:space="4" w:color="auto"/>
        </w:pBdr>
        <w:ind w:left="0" w:firstLine="0"/>
        <w:jc w:val="both"/>
      </w:pPr>
      <w:r>
        <w:t xml:space="preserve">The committee are </w:t>
      </w:r>
      <w:r>
        <w:t>also invited to comment on the two project level social value case studies for Blackpool Tramway Extension and the Engineering Innovation Centre prepared at the request of the Growth Deal Management Board in December 2018.</w:t>
      </w:r>
    </w:p>
    <w:p w:rsidR="00A21269" w:rsidRDefault="00E31D7C" w:rsidP="00A21269">
      <w:pPr>
        <w:pBdr>
          <w:top w:val="single" w:sz="4" w:space="1" w:color="auto"/>
          <w:left w:val="single" w:sz="4" w:space="4" w:color="auto"/>
          <w:bottom w:val="single" w:sz="4" w:space="1" w:color="auto"/>
          <w:right w:val="single" w:sz="4" w:space="4" w:color="auto"/>
        </w:pBdr>
        <w:ind w:left="0" w:firstLine="0"/>
        <w:jc w:val="both"/>
      </w:pPr>
    </w:p>
    <w:p w:rsidR="00A21269" w:rsidRDefault="00E31D7C" w:rsidP="00A21269">
      <w:pPr>
        <w:spacing w:after="0" w:line="256" w:lineRule="auto"/>
        <w:ind w:left="0" w:firstLine="0"/>
        <w:jc w:val="both"/>
      </w:pPr>
    </w:p>
    <w:p w:rsidR="00A21269" w:rsidRPr="00E42D67" w:rsidRDefault="00E31D7C" w:rsidP="00A21269">
      <w:pPr>
        <w:pStyle w:val="ListParagraph"/>
        <w:numPr>
          <w:ilvl w:val="0"/>
          <w:numId w:val="4"/>
        </w:numPr>
        <w:jc w:val="both"/>
        <w:rPr>
          <w:b/>
        </w:rPr>
      </w:pPr>
      <w:r w:rsidRPr="00E42D67">
        <w:rPr>
          <w:b/>
        </w:rPr>
        <w:t xml:space="preserve">Background and Advice </w:t>
      </w:r>
    </w:p>
    <w:p w:rsidR="00A21269" w:rsidRDefault="00E31D7C" w:rsidP="00A21269">
      <w:pPr>
        <w:jc w:val="both"/>
        <w:rPr>
          <w:b/>
        </w:rPr>
      </w:pPr>
    </w:p>
    <w:p w:rsidR="00A21269" w:rsidRDefault="00E31D7C" w:rsidP="00A21269">
      <w:pPr>
        <w:pStyle w:val="ListParagraph"/>
        <w:numPr>
          <w:ilvl w:val="1"/>
          <w:numId w:val="4"/>
        </w:numPr>
        <w:spacing w:after="0" w:line="256" w:lineRule="auto"/>
        <w:jc w:val="both"/>
      </w:pPr>
      <w:r w:rsidRPr="00B67FEE">
        <w:t>The Gro</w:t>
      </w:r>
      <w:r w:rsidRPr="00B67FEE">
        <w:t>wth Deal Management Board a</w:t>
      </w:r>
      <w:r>
        <w:t>re committed to maximising the social v</w:t>
      </w:r>
      <w:r w:rsidRPr="00B67FEE">
        <w:t xml:space="preserve">alue benefits of </w:t>
      </w:r>
      <w:r>
        <w:t xml:space="preserve">the individual </w:t>
      </w:r>
      <w:r w:rsidRPr="00B67FEE">
        <w:t xml:space="preserve">projects that form part of the Growth Deal Programme, and the </w:t>
      </w:r>
      <w:r>
        <w:t xml:space="preserve">social value </w:t>
      </w:r>
      <w:r w:rsidRPr="00B67FEE">
        <w:t xml:space="preserve">benefits </w:t>
      </w:r>
      <w:r>
        <w:t>across the Growth Deal Programme.</w:t>
      </w:r>
    </w:p>
    <w:p w:rsidR="00A21269" w:rsidRDefault="00E31D7C" w:rsidP="00A21269">
      <w:pPr>
        <w:spacing w:after="0" w:line="256" w:lineRule="auto"/>
        <w:ind w:left="0" w:firstLine="0"/>
        <w:jc w:val="both"/>
      </w:pPr>
    </w:p>
    <w:p w:rsidR="00A21269" w:rsidRDefault="00E31D7C" w:rsidP="00A21269">
      <w:pPr>
        <w:pStyle w:val="ListParagraph"/>
        <w:numPr>
          <w:ilvl w:val="1"/>
          <w:numId w:val="4"/>
        </w:numPr>
        <w:jc w:val="both"/>
      </w:pPr>
      <w:r>
        <w:t>In order to realise the commitment, a S</w:t>
      </w:r>
      <w:r>
        <w:t xml:space="preserve">ocial Value toolkit for applicants was developed, articulating the LEP's expectations in relation to social value which align with the Lancashire Skills and Employment Strategic Framework and thus strategic priorities.  </w:t>
      </w:r>
    </w:p>
    <w:p w:rsidR="00A21269" w:rsidRDefault="00E31D7C" w:rsidP="00A21269">
      <w:pPr>
        <w:pStyle w:val="ListParagraph"/>
        <w:jc w:val="both"/>
      </w:pPr>
    </w:p>
    <w:p w:rsidR="00A21269" w:rsidRDefault="00E31D7C" w:rsidP="00A21269">
      <w:pPr>
        <w:pStyle w:val="ListParagraph"/>
        <w:numPr>
          <w:ilvl w:val="1"/>
          <w:numId w:val="4"/>
        </w:numPr>
        <w:jc w:val="both"/>
      </w:pPr>
      <w:r>
        <w:t xml:space="preserve">A process for agreeing indicative </w:t>
      </w:r>
      <w:r>
        <w:t xml:space="preserve">outputs and monitoring progress has been embedded within the process for business case development, with ongoing reporting against outputs on a bi-annual basis.   </w:t>
      </w:r>
    </w:p>
    <w:p w:rsidR="00A21269" w:rsidRDefault="00E31D7C" w:rsidP="00A21269">
      <w:pPr>
        <w:pStyle w:val="ListParagraph"/>
        <w:jc w:val="both"/>
      </w:pPr>
    </w:p>
    <w:p w:rsidR="00A21269" w:rsidRDefault="00E31D7C" w:rsidP="00A21269">
      <w:pPr>
        <w:pStyle w:val="ListParagraph"/>
        <w:numPr>
          <w:ilvl w:val="0"/>
          <w:numId w:val="4"/>
        </w:numPr>
        <w:jc w:val="both"/>
        <w:rPr>
          <w:b/>
          <w:color w:val="auto"/>
        </w:rPr>
      </w:pPr>
      <w:r>
        <w:rPr>
          <w:b/>
          <w:color w:val="auto"/>
        </w:rPr>
        <w:t xml:space="preserve">Social Value </w:t>
      </w:r>
      <w:r w:rsidRPr="00873D56">
        <w:rPr>
          <w:b/>
          <w:color w:val="auto"/>
        </w:rPr>
        <w:t xml:space="preserve">Metrics </w:t>
      </w:r>
      <w:r>
        <w:rPr>
          <w:b/>
          <w:color w:val="auto"/>
        </w:rPr>
        <w:t>/ Reporting –</w:t>
      </w:r>
      <w:r w:rsidRPr="00873D56">
        <w:rPr>
          <w:b/>
          <w:color w:val="auto"/>
        </w:rPr>
        <w:t xml:space="preserve"> Update</w:t>
      </w:r>
    </w:p>
    <w:p w:rsidR="00A21269" w:rsidRDefault="00E31D7C" w:rsidP="00A21269">
      <w:pPr>
        <w:jc w:val="both"/>
        <w:rPr>
          <w:b/>
          <w:color w:val="auto"/>
        </w:rPr>
      </w:pPr>
    </w:p>
    <w:p w:rsidR="00A21269" w:rsidRDefault="0077253A" w:rsidP="00A21269">
      <w:pPr>
        <w:pStyle w:val="ListParagraph"/>
        <w:numPr>
          <w:ilvl w:val="1"/>
          <w:numId w:val="4"/>
        </w:numPr>
        <w:jc w:val="both"/>
        <w:rPr>
          <w:color w:val="auto"/>
          <w:lang w:eastAsia="en-US"/>
        </w:rPr>
      </w:pPr>
      <w:r>
        <w:rPr>
          <w:color w:val="auto"/>
          <w:lang w:eastAsia="en-US"/>
        </w:rPr>
        <w:t xml:space="preserve">As proposed at the </w:t>
      </w:r>
      <w:r w:rsidR="00E31D7C" w:rsidRPr="00E85B32">
        <w:rPr>
          <w:color w:val="auto"/>
          <w:lang w:eastAsia="en-US"/>
        </w:rPr>
        <w:t>Growth Deal Management B</w:t>
      </w:r>
      <w:r w:rsidR="00E31D7C" w:rsidRPr="00E85B32">
        <w:rPr>
          <w:color w:val="auto"/>
          <w:lang w:eastAsia="en-US"/>
        </w:rPr>
        <w:t>oard in December 2018, the Skills and Employment Hub reviewed the social value metrics in place across LEP projects to align them with the National Framework, The National Themes Outcomes and Measures (TOMs).</w:t>
      </w:r>
    </w:p>
    <w:p w:rsidR="00A21269" w:rsidRDefault="00E31D7C" w:rsidP="00A21269">
      <w:pPr>
        <w:pStyle w:val="ListParagraph"/>
        <w:ind w:left="624" w:firstLine="0"/>
        <w:jc w:val="both"/>
        <w:rPr>
          <w:color w:val="auto"/>
          <w:lang w:eastAsia="en-US"/>
        </w:rPr>
      </w:pPr>
    </w:p>
    <w:p w:rsidR="00A21269" w:rsidRPr="00E85B32" w:rsidRDefault="00E31D7C" w:rsidP="00A21269">
      <w:pPr>
        <w:pStyle w:val="ListParagraph"/>
        <w:numPr>
          <w:ilvl w:val="1"/>
          <w:numId w:val="4"/>
        </w:numPr>
        <w:jc w:val="both"/>
        <w:rPr>
          <w:color w:val="auto"/>
          <w:lang w:eastAsia="en-US"/>
        </w:rPr>
      </w:pPr>
      <w:r w:rsidRPr="00E85B32">
        <w:rPr>
          <w:color w:val="auto"/>
          <w:lang w:eastAsia="en-US"/>
        </w:rPr>
        <w:t xml:space="preserve">The principal benefits of this approach is to </w:t>
      </w:r>
      <w:r w:rsidRPr="00E85B32">
        <w:rPr>
          <w:color w:val="auto"/>
          <w:lang w:eastAsia="en-US"/>
        </w:rPr>
        <w:t>provide a consistent approach to measuring and reporting social value across the LEP's portfolio of projects and programmes.</w:t>
      </w:r>
    </w:p>
    <w:p w:rsidR="00A21269" w:rsidRDefault="00E31D7C" w:rsidP="00A21269">
      <w:pPr>
        <w:pStyle w:val="NoSpacing"/>
        <w:ind w:left="624"/>
        <w:jc w:val="both"/>
      </w:pPr>
    </w:p>
    <w:p w:rsidR="00A21269" w:rsidRDefault="00E31D7C" w:rsidP="00A21269">
      <w:pPr>
        <w:pStyle w:val="NoSpacing"/>
        <w:numPr>
          <w:ilvl w:val="1"/>
          <w:numId w:val="4"/>
        </w:numPr>
        <w:jc w:val="both"/>
      </w:pPr>
      <w:r>
        <w:t>The attached dashboard has been developed to highlight key metrics and cumulative performance to-date – see Appendix A.  It is int</w:t>
      </w:r>
      <w:r>
        <w:t>ended that the metrics be updated on a regular basis and be used to publicise the integration of social value in the Lancashire Growth Deal programme through various channels e.g. website and social media.  The committee are asked to comment on the updated</w:t>
      </w:r>
      <w:r>
        <w:t xml:space="preserve"> dashboard.</w:t>
      </w:r>
    </w:p>
    <w:p w:rsidR="00A21269" w:rsidRDefault="00E31D7C" w:rsidP="00A21269">
      <w:pPr>
        <w:pStyle w:val="NoSpacing"/>
        <w:ind w:left="624"/>
        <w:jc w:val="both"/>
      </w:pPr>
    </w:p>
    <w:p w:rsidR="00A21269" w:rsidRDefault="00E31D7C" w:rsidP="00A21269">
      <w:pPr>
        <w:pStyle w:val="NoSpacing"/>
        <w:jc w:val="both"/>
      </w:pPr>
    </w:p>
    <w:p w:rsidR="00A21269" w:rsidRDefault="00E31D7C" w:rsidP="00A21269">
      <w:pPr>
        <w:pStyle w:val="NoSpacing"/>
        <w:numPr>
          <w:ilvl w:val="0"/>
          <w:numId w:val="4"/>
        </w:numPr>
        <w:jc w:val="both"/>
        <w:rPr>
          <w:b/>
        </w:rPr>
      </w:pPr>
      <w:r w:rsidRPr="004772D7">
        <w:rPr>
          <w:b/>
        </w:rPr>
        <w:t xml:space="preserve">Key Performance </w:t>
      </w:r>
      <w:r>
        <w:rPr>
          <w:b/>
        </w:rPr>
        <w:t>Indicators to end of March 2019</w:t>
      </w:r>
      <w:r w:rsidRPr="004772D7">
        <w:rPr>
          <w:b/>
        </w:rPr>
        <w:t xml:space="preserve"> </w:t>
      </w:r>
    </w:p>
    <w:p w:rsidR="00A21269" w:rsidRDefault="00E31D7C" w:rsidP="00A21269">
      <w:pPr>
        <w:pStyle w:val="NoSpacing"/>
        <w:jc w:val="both"/>
        <w:rPr>
          <w:b/>
        </w:rPr>
      </w:pPr>
    </w:p>
    <w:p w:rsidR="00A21269" w:rsidRDefault="00E31D7C" w:rsidP="00A21269">
      <w:pPr>
        <w:pStyle w:val="NoSpacing"/>
        <w:jc w:val="both"/>
      </w:pPr>
      <w:r w:rsidRPr="00E926FD">
        <w:t>The tables below set</w:t>
      </w:r>
      <w:r>
        <w:t>s</w:t>
      </w:r>
      <w:r w:rsidRPr="00E926FD">
        <w:t xml:space="preserve"> out the cumulative performance</w:t>
      </w:r>
      <w:r>
        <w:t>,</w:t>
      </w:r>
      <w:r w:rsidRPr="00E926FD">
        <w:t xml:space="preserve"> as measured across a range of thematic social value m</w:t>
      </w:r>
      <w:r>
        <w:t>etrics across the Growth Deal P</w:t>
      </w:r>
      <w:r w:rsidRPr="00E926FD">
        <w:t>r</w:t>
      </w:r>
      <w:r>
        <w:t>ogramme to the end of March 2019.</w:t>
      </w:r>
    </w:p>
    <w:p w:rsidR="00A21269" w:rsidRDefault="00E31D7C" w:rsidP="00A21269">
      <w:pPr>
        <w:pStyle w:val="NoSpacing"/>
        <w:jc w:val="both"/>
      </w:pPr>
    </w:p>
    <w:p w:rsidR="00A21269" w:rsidRDefault="00E31D7C" w:rsidP="00A21269">
      <w:pPr>
        <w:pStyle w:val="NoSpacing"/>
        <w:numPr>
          <w:ilvl w:val="1"/>
          <w:numId w:val="4"/>
        </w:numPr>
        <w:jc w:val="both"/>
      </w:pPr>
      <w:r>
        <w:t>Of the 34 projects</w:t>
      </w:r>
      <w:r>
        <w:t xml:space="preserve"> which are currently live within the Growth Deal programme:</w:t>
      </w:r>
    </w:p>
    <w:p w:rsidR="00A21269" w:rsidRDefault="00E31D7C" w:rsidP="00A21269">
      <w:pPr>
        <w:pStyle w:val="ListParagraph"/>
        <w:jc w:val="both"/>
      </w:pPr>
    </w:p>
    <w:p w:rsidR="00A21269" w:rsidRPr="00887C0D" w:rsidRDefault="00E31D7C" w:rsidP="00A21269">
      <w:pPr>
        <w:pStyle w:val="NoSpacing"/>
        <w:numPr>
          <w:ilvl w:val="2"/>
          <w:numId w:val="5"/>
        </w:numPr>
        <w:ind w:left="984"/>
        <w:jc w:val="both"/>
      </w:pPr>
      <w:r w:rsidRPr="00887C0D">
        <w:t>29 projects have returned their completed social value reporting template</w:t>
      </w:r>
    </w:p>
    <w:p w:rsidR="00A21269" w:rsidRPr="00887C0D" w:rsidRDefault="00E31D7C" w:rsidP="00A21269">
      <w:pPr>
        <w:pStyle w:val="NoSpacing"/>
        <w:numPr>
          <w:ilvl w:val="2"/>
          <w:numId w:val="5"/>
        </w:numPr>
        <w:ind w:left="984"/>
        <w:jc w:val="both"/>
      </w:pPr>
      <w:r w:rsidRPr="00887C0D">
        <w:t>3 projects are 'forecasting' social value activity</w:t>
      </w:r>
    </w:p>
    <w:p w:rsidR="00A21269" w:rsidRPr="00887C0D" w:rsidRDefault="00E31D7C" w:rsidP="00A21269">
      <w:pPr>
        <w:pStyle w:val="NoSpacing"/>
        <w:numPr>
          <w:ilvl w:val="2"/>
          <w:numId w:val="5"/>
        </w:numPr>
        <w:ind w:left="984"/>
        <w:jc w:val="both"/>
      </w:pPr>
      <w:r w:rsidRPr="00887C0D">
        <w:t>26 projects are reporting 'actual' social value activity</w:t>
      </w:r>
    </w:p>
    <w:p w:rsidR="00A21269" w:rsidRPr="00887C0D" w:rsidRDefault="00E31D7C" w:rsidP="00A21269">
      <w:pPr>
        <w:pStyle w:val="NoSpacing"/>
        <w:numPr>
          <w:ilvl w:val="2"/>
          <w:numId w:val="5"/>
        </w:numPr>
        <w:ind w:left="984"/>
        <w:jc w:val="both"/>
      </w:pPr>
      <w:r w:rsidRPr="00887C0D">
        <w:t>5 projects ar</w:t>
      </w:r>
      <w:r w:rsidRPr="00887C0D">
        <w:t>e of a size/nature unsuited to delivery of social value outputs</w:t>
      </w:r>
    </w:p>
    <w:p w:rsidR="00A21269" w:rsidRDefault="00E31D7C" w:rsidP="00A21269">
      <w:pPr>
        <w:pStyle w:val="NoSpacing"/>
        <w:jc w:val="both"/>
      </w:pPr>
    </w:p>
    <w:p w:rsidR="00A21269" w:rsidRPr="00E926FD" w:rsidRDefault="00E31D7C" w:rsidP="00A21269">
      <w:pPr>
        <w:pStyle w:val="NoSpacing"/>
        <w:jc w:val="both"/>
      </w:pPr>
      <w:r>
        <w:t>3.2</w:t>
      </w:r>
      <w:r>
        <w:tab/>
        <w:t xml:space="preserve">In addition to the outputs delivered to date, the tables outlined below also apply the National TOMs methodology to provide an indicative social value for each metric. </w:t>
      </w:r>
    </w:p>
    <w:p w:rsidR="00A21269" w:rsidRDefault="00E31D7C" w:rsidP="00A21269">
      <w:pPr>
        <w:pStyle w:val="NoSpacing"/>
        <w:jc w:val="both"/>
      </w:pPr>
    </w:p>
    <w:p w:rsidR="00A21269" w:rsidRPr="00CA2BB7" w:rsidRDefault="00E31D7C" w:rsidP="00A21269">
      <w:pPr>
        <w:pStyle w:val="NoSpacing"/>
        <w:jc w:val="both"/>
        <w:rPr>
          <w:b/>
        </w:rPr>
      </w:pPr>
      <w:r w:rsidRPr="00CA2BB7">
        <w:rPr>
          <w:b/>
        </w:rPr>
        <w:t>Future Workforce</w:t>
      </w:r>
    </w:p>
    <w:tbl>
      <w:tblPr>
        <w:tblStyle w:val="TableGrid"/>
        <w:tblW w:w="0" w:type="auto"/>
        <w:tblLook w:val="04A0" w:firstRow="1" w:lastRow="0" w:firstColumn="1" w:lastColumn="0" w:noHBand="0" w:noVBand="1"/>
      </w:tblPr>
      <w:tblGrid>
        <w:gridCol w:w="6232"/>
        <w:gridCol w:w="1276"/>
        <w:gridCol w:w="1508"/>
      </w:tblGrid>
      <w:tr w:rsidR="002F7B3D" w:rsidTr="00DF34BD">
        <w:tc>
          <w:tcPr>
            <w:tcW w:w="6232" w:type="dxa"/>
          </w:tcPr>
          <w:p w:rsidR="00A21269" w:rsidRPr="005F4B46" w:rsidRDefault="00E31D7C" w:rsidP="00DF34BD">
            <w:pPr>
              <w:pStyle w:val="NoSpacing"/>
              <w:jc w:val="both"/>
              <w:rPr>
                <w:b/>
                <w:sz w:val="20"/>
                <w:szCs w:val="20"/>
              </w:rPr>
            </w:pPr>
            <w:r w:rsidRPr="005F4B46">
              <w:rPr>
                <w:b/>
                <w:sz w:val="20"/>
                <w:szCs w:val="20"/>
              </w:rPr>
              <w:t>Metric</w:t>
            </w:r>
          </w:p>
        </w:tc>
        <w:tc>
          <w:tcPr>
            <w:tcW w:w="1276" w:type="dxa"/>
          </w:tcPr>
          <w:p w:rsidR="00A21269" w:rsidRPr="005F4B46" w:rsidRDefault="00E31D7C" w:rsidP="00DF34BD">
            <w:pPr>
              <w:pStyle w:val="NoSpacing"/>
              <w:jc w:val="both"/>
              <w:rPr>
                <w:b/>
                <w:sz w:val="20"/>
                <w:szCs w:val="20"/>
              </w:rPr>
            </w:pPr>
            <w:r>
              <w:rPr>
                <w:b/>
                <w:sz w:val="20"/>
                <w:szCs w:val="20"/>
              </w:rPr>
              <w:t>T</w:t>
            </w:r>
            <w:r w:rsidRPr="005F4B46">
              <w:rPr>
                <w:b/>
                <w:sz w:val="20"/>
                <w:szCs w:val="20"/>
              </w:rPr>
              <w:t>o date</w:t>
            </w:r>
          </w:p>
        </w:tc>
        <w:tc>
          <w:tcPr>
            <w:tcW w:w="1508" w:type="dxa"/>
          </w:tcPr>
          <w:p w:rsidR="00A21269" w:rsidRPr="005F4B46" w:rsidRDefault="00E31D7C" w:rsidP="00DF34BD">
            <w:pPr>
              <w:pStyle w:val="NoSpacing"/>
              <w:jc w:val="both"/>
              <w:rPr>
                <w:b/>
                <w:sz w:val="20"/>
                <w:szCs w:val="20"/>
              </w:rPr>
            </w:pPr>
            <w:r w:rsidRPr="005F4B46">
              <w:rPr>
                <w:b/>
                <w:sz w:val="20"/>
                <w:szCs w:val="20"/>
              </w:rPr>
              <w:t>Indicative Social Value</w:t>
            </w:r>
          </w:p>
        </w:tc>
      </w:tr>
      <w:tr w:rsidR="002F7B3D" w:rsidTr="00DF34BD">
        <w:tc>
          <w:tcPr>
            <w:tcW w:w="6232" w:type="dxa"/>
          </w:tcPr>
          <w:p w:rsidR="00A21269" w:rsidRPr="005F4B46" w:rsidRDefault="00E31D7C" w:rsidP="00DF34BD">
            <w:pPr>
              <w:pStyle w:val="NoSpacing"/>
              <w:jc w:val="both"/>
              <w:rPr>
                <w:sz w:val="20"/>
                <w:szCs w:val="20"/>
              </w:rPr>
            </w:pPr>
            <w:r w:rsidRPr="005F4B46">
              <w:rPr>
                <w:sz w:val="20"/>
                <w:szCs w:val="20"/>
              </w:rPr>
              <w:t>Hours volunteered to support learning and education through curriculum links, careers and STEM activity.</w:t>
            </w:r>
          </w:p>
        </w:tc>
        <w:tc>
          <w:tcPr>
            <w:tcW w:w="1276" w:type="dxa"/>
          </w:tcPr>
          <w:p w:rsidR="00A21269" w:rsidRPr="005F4B46" w:rsidRDefault="00E31D7C" w:rsidP="00DF34BD">
            <w:pPr>
              <w:pStyle w:val="NoSpacing"/>
              <w:jc w:val="both"/>
              <w:rPr>
                <w:sz w:val="20"/>
                <w:szCs w:val="20"/>
              </w:rPr>
            </w:pPr>
            <w:r>
              <w:rPr>
                <w:sz w:val="20"/>
                <w:szCs w:val="20"/>
              </w:rPr>
              <w:t>524</w:t>
            </w:r>
          </w:p>
        </w:tc>
        <w:tc>
          <w:tcPr>
            <w:tcW w:w="1508" w:type="dxa"/>
          </w:tcPr>
          <w:p w:rsidR="00A21269" w:rsidRPr="005F4B46" w:rsidRDefault="00E31D7C" w:rsidP="00DF34BD">
            <w:pPr>
              <w:pStyle w:val="NoSpacing"/>
              <w:jc w:val="both"/>
              <w:rPr>
                <w:sz w:val="20"/>
                <w:szCs w:val="20"/>
              </w:rPr>
            </w:pPr>
            <w:r w:rsidRPr="000C7409">
              <w:rPr>
                <w:sz w:val="20"/>
                <w:szCs w:val="20"/>
              </w:rPr>
              <w:t>£72,089.92</w:t>
            </w:r>
            <w:r w:rsidRPr="005F4B46">
              <w:rPr>
                <w:sz w:val="20"/>
                <w:szCs w:val="20"/>
              </w:rPr>
              <w:tab/>
            </w:r>
          </w:p>
        </w:tc>
      </w:tr>
      <w:tr w:rsidR="002F7B3D" w:rsidTr="00DF34BD">
        <w:tc>
          <w:tcPr>
            <w:tcW w:w="6232" w:type="dxa"/>
          </w:tcPr>
          <w:p w:rsidR="00A21269" w:rsidRPr="005F4B46" w:rsidRDefault="00E31D7C" w:rsidP="00DF34BD">
            <w:pPr>
              <w:pStyle w:val="NoSpacing"/>
              <w:jc w:val="both"/>
              <w:rPr>
                <w:sz w:val="20"/>
                <w:szCs w:val="20"/>
              </w:rPr>
            </w:pPr>
            <w:r w:rsidRPr="005F4B46">
              <w:rPr>
                <w:sz w:val="20"/>
                <w:szCs w:val="20"/>
              </w:rPr>
              <w:t>Number of work experience placements for 15-18 year olds at Lancashire schools and colleges</w:t>
            </w:r>
          </w:p>
        </w:tc>
        <w:tc>
          <w:tcPr>
            <w:tcW w:w="1276" w:type="dxa"/>
          </w:tcPr>
          <w:p w:rsidR="00A21269" w:rsidRPr="005F4B46" w:rsidRDefault="00E31D7C" w:rsidP="00DF34BD">
            <w:pPr>
              <w:pStyle w:val="NoSpacing"/>
              <w:jc w:val="both"/>
              <w:rPr>
                <w:sz w:val="20"/>
                <w:szCs w:val="20"/>
              </w:rPr>
            </w:pPr>
            <w:r>
              <w:rPr>
                <w:sz w:val="20"/>
                <w:szCs w:val="20"/>
              </w:rPr>
              <w:t>207</w:t>
            </w:r>
          </w:p>
        </w:tc>
        <w:tc>
          <w:tcPr>
            <w:tcW w:w="1508" w:type="dxa"/>
          </w:tcPr>
          <w:p w:rsidR="00A21269" w:rsidRPr="005F4B46" w:rsidRDefault="00E31D7C" w:rsidP="00DF34BD">
            <w:pPr>
              <w:pStyle w:val="NoSpacing"/>
              <w:jc w:val="both"/>
              <w:rPr>
                <w:sz w:val="20"/>
                <w:szCs w:val="20"/>
              </w:rPr>
            </w:pPr>
            <w:r w:rsidRPr="000C7409">
              <w:rPr>
                <w:sz w:val="20"/>
                <w:szCs w:val="20"/>
              </w:rPr>
              <w:t>£30,832.65</w:t>
            </w:r>
            <w:r w:rsidRPr="005F4B46">
              <w:rPr>
                <w:sz w:val="20"/>
                <w:szCs w:val="20"/>
              </w:rPr>
              <w:tab/>
            </w:r>
          </w:p>
        </w:tc>
      </w:tr>
      <w:tr w:rsidR="002F7B3D" w:rsidTr="00DF34BD">
        <w:tc>
          <w:tcPr>
            <w:tcW w:w="6232" w:type="dxa"/>
          </w:tcPr>
          <w:p w:rsidR="00A21269" w:rsidRPr="005F4B46" w:rsidRDefault="00E31D7C" w:rsidP="00DF34BD">
            <w:pPr>
              <w:pStyle w:val="NoSpacing"/>
              <w:jc w:val="both"/>
              <w:rPr>
                <w:sz w:val="20"/>
                <w:szCs w:val="20"/>
              </w:rPr>
            </w:pPr>
            <w:r w:rsidRPr="005F4B46">
              <w:rPr>
                <w:sz w:val="20"/>
                <w:szCs w:val="20"/>
              </w:rPr>
              <w:t>Number of undergraduate project placements offered to Lancashire's Universities.</w:t>
            </w:r>
          </w:p>
        </w:tc>
        <w:tc>
          <w:tcPr>
            <w:tcW w:w="1276" w:type="dxa"/>
          </w:tcPr>
          <w:p w:rsidR="00A21269" w:rsidRPr="005F4B46" w:rsidRDefault="00E31D7C" w:rsidP="00DF34BD">
            <w:pPr>
              <w:pStyle w:val="NoSpacing"/>
              <w:jc w:val="both"/>
              <w:rPr>
                <w:sz w:val="20"/>
                <w:szCs w:val="20"/>
              </w:rPr>
            </w:pPr>
            <w:r>
              <w:rPr>
                <w:sz w:val="20"/>
                <w:szCs w:val="20"/>
              </w:rPr>
              <w:t>101</w:t>
            </w:r>
          </w:p>
        </w:tc>
        <w:tc>
          <w:tcPr>
            <w:tcW w:w="1508" w:type="dxa"/>
          </w:tcPr>
          <w:p w:rsidR="00A21269" w:rsidRPr="005F4B46" w:rsidRDefault="00E31D7C" w:rsidP="00DF34BD">
            <w:pPr>
              <w:pStyle w:val="NoSpacing"/>
              <w:jc w:val="both"/>
              <w:rPr>
                <w:sz w:val="20"/>
                <w:szCs w:val="20"/>
              </w:rPr>
            </w:pPr>
            <w:r w:rsidRPr="000C7409">
              <w:rPr>
                <w:sz w:val="20"/>
                <w:szCs w:val="20"/>
              </w:rPr>
              <w:t>£15,043.95</w:t>
            </w:r>
          </w:p>
        </w:tc>
      </w:tr>
      <w:tr w:rsidR="002F7B3D" w:rsidTr="00DF34BD">
        <w:tc>
          <w:tcPr>
            <w:tcW w:w="6232" w:type="dxa"/>
          </w:tcPr>
          <w:p w:rsidR="00A21269" w:rsidRPr="005F4B46" w:rsidRDefault="00E31D7C" w:rsidP="00DF34BD">
            <w:pPr>
              <w:pStyle w:val="NoSpacing"/>
              <w:jc w:val="both"/>
              <w:rPr>
                <w:sz w:val="20"/>
                <w:szCs w:val="20"/>
              </w:rPr>
            </w:pPr>
            <w:r w:rsidRPr="005F4B46">
              <w:rPr>
                <w:sz w:val="20"/>
                <w:szCs w:val="20"/>
              </w:rPr>
              <w:t>Number of graduate internships for graduates living in Lancashire</w:t>
            </w:r>
          </w:p>
        </w:tc>
        <w:tc>
          <w:tcPr>
            <w:tcW w:w="1276" w:type="dxa"/>
          </w:tcPr>
          <w:p w:rsidR="00A21269" w:rsidRPr="005F4B46" w:rsidRDefault="00E31D7C" w:rsidP="00DF34BD">
            <w:pPr>
              <w:pStyle w:val="NoSpacing"/>
              <w:jc w:val="both"/>
              <w:rPr>
                <w:sz w:val="20"/>
                <w:szCs w:val="20"/>
              </w:rPr>
            </w:pPr>
            <w:r w:rsidRPr="005F4B46">
              <w:rPr>
                <w:sz w:val="20"/>
                <w:szCs w:val="20"/>
              </w:rPr>
              <w:t>22</w:t>
            </w:r>
          </w:p>
        </w:tc>
        <w:tc>
          <w:tcPr>
            <w:tcW w:w="1508" w:type="dxa"/>
          </w:tcPr>
          <w:p w:rsidR="00A21269" w:rsidRPr="005F4B46" w:rsidRDefault="00E31D7C" w:rsidP="00DF34BD">
            <w:pPr>
              <w:pStyle w:val="NoSpacing"/>
              <w:jc w:val="both"/>
              <w:rPr>
                <w:sz w:val="20"/>
                <w:szCs w:val="20"/>
              </w:rPr>
            </w:pPr>
            <w:r>
              <w:rPr>
                <w:sz w:val="20"/>
                <w:szCs w:val="20"/>
              </w:rPr>
              <w:t>£19,661.40</w:t>
            </w:r>
            <w:r w:rsidRPr="005F4B46">
              <w:rPr>
                <w:sz w:val="20"/>
                <w:szCs w:val="20"/>
              </w:rPr>
              <w:tab/>
            </w:r>
          </w:p>
        </w:tc>
      </w:tr>
    </w:tbl>
    <w:p w:rsidR="00A21269" w:rsidRDefault="00E31D7C" w:rsidP="00A21269">
      <w:pPr>
        <w:pStyle w:val="NoSpacing"/>
        <w:jc w:val="both"/>
      </w:pPr>
    </w:p>
    <w:p w:rsidR="00A21269" w:rsidRPr="00E926FD" w:rsidRDefault="00E31D7C" w:rsidP="00A21269">
      <w:pPr>
        <w:ind w:left="0" w:firstLine="0"/>
        <w:jc w:val="both"/>
        <w:rPr>
          <w:b/>
        </w:rPr>
      </w:pPr>
      <w:r w:rsidRPr="00E926FD">
        <w:rPr>
          <w:b/>
        </w:rPr>
        <w:t>Inclusive Workforce</w:t>
      </w:r>
    </w:p>
    <w:tbl>
      <w:tblPr>
        <w:tblStyle w:val="TableGrid"/>
        <w:tblW w:w="0" w:type="auto"/>
        <w:tblLook w:val="04A0" w:firstRow="1" w:lastRow="0" w:firstColumn="1" w:lastColumn="0" w:noHBand="0" w:noVBand="1"/>
      </w:tblPr>
      <w:tblGrid>
        <w:gridCol w:w="6232"/>
        <w:gridCol w:w="1276"/>
        <w:gridCol w:w="1508"/>
      </w:tblGrid>
      <w:tr w:rsidR="002F7B3D" w:rsidTr="00DF34BD">
        <w:tc>
          <w:tcPr>
            <w:tcW w:w="6232" w:type="dxa"/>
          </w:tcPr>
          <w:p w:rsidR="00A21269" w:rsidRPr="00E926FD" w:rsidRDefault="00E31D7C" w:rsidP="00DF34BD">
            <w:pPr>
              <w:pStyle w:val="NoSpacing"/>
              <w:jc w:val="both"/>
              <w:rPr>
                <w:b/>
                <w:sz w:val="20"/>
                <w:szCs w:val="20"/>
              </w:rPr>
            </w:pPr>
            <w:r w:rsidRPr="00E926FD">
              <w:rPr>
                <w:b/>
                <w:sz w:val="20"/>
                <w:szCs w:val="20"/>
              </w:rPr>
              <w:t>Metric</w:t>
            </w:r>
          </w:p>
        </w:tc>
        <w:tc>
          <w:tcPr>
            <w:tcW w:w="1276" w:type="dxa"/>
          </w:tcPr>
          <w:p w:rsidR="00A21269" w:rsidRPr="00E926FD" w:rsidRDefault="00E31D7C" w:rsidP="00DF34BD">
            <w:pPr>
              <w:pStyle w:val="NoSpacing"/>
              <w:jc w:val="both"/>
              <w:rPr>
                <w:b/>
                <w:sz w:val="20"/>
                <w:szCs w:val="20"/>
              </w:rPr>
            </w:pPr>
            <w:r w:rsidRPr="00E926FD">
              <w:rPr>
                <w:b/>
                <w:sz w:val="20"/>
                <w:szCs w:val="20"/>
              </w:rPr>
              <w:t>To date</w:t>
            </w:r>
          </w:p>
        </w:tc>
        <w:tc>
          <w:tcPr>
            <w:tcW w:w="1508" w:type="dxa"/>
          </w:tcPr>
          <w:p w:rsidR="00A21269" w:rsidRPr="00E926FD" w:rsidRDefault="00E31D7C" w:rsidP="00DF34BD">
            <w:pPr>
              <w:pStyle w:val="NoSpacing"/>
              <w:jc w:val="both"/>
              <w:rPr>
                <w:b/>
                <w:sz w:val="20"/>
                <w:szCs w:val="20"/>
              </w:rPr>
            </w:pPr>
            <w:r w:rsidRPr="00E926FD">
              <w:rPr>
                <w:b/>
                <w:sz w:val="20"/>
                <w:szCs w:val="20"/>
              </w:rPr>
              <w:t>Indicative Social Value</w:t>
            </w:r>
          </w:p>
        </w:tc>
      </w:tr>
      <w:tr w:rsidR="002F7B3D" w:rsidTr="00DF34BD">
        <w:tc>
          <w:tcPr>
            <w:tcW w:w="6232" w:type="dxa"/>
          </w:tcPr>
          <w:p w:rsidR="00A21269" w:rsidRPr="005F4B46" w:rsidRDefault="00E31D7C" w:rsidP="00DF34BD">
            <w:pPr>
              <w:pStyle w:val="NoSpacing"/>
              <w:jc w:val="both"/>
              <w:rPr>
                <w:sz w:val="20"/>
                <w:szCs w:val="20"/>
              </w:rPr>
            </w:pPr>
            <w:r>
              <w:rPr>
                <w:sz w:val="20"/>
                <w:szCs w:val="20"/>
              </w:rPr>
              <w:lastRenderedPageBreak/>
              <w:t xml:space="preserve">Number </w:t>
            </w:r>
            <w:r w:rsidRPr="00A56E5E">
              <w:rPr>
                <w:sz w:val="20"/>
                <w:szCs w:val="20"/>
              </w:rPr>
              <w:t xml:space="preserve">of local people </w:t>
            </w:r>
            <w:r>
              <w:rPr>
                <w:sz w:val="20"/>
                <w:szCs w:val="20"/>
              </w:rPr>
              <w:t xml:space="preserve">(FTE) employed on contract </w:t>
            </w:r>
            <w:r w:rsidRPr="00A56E5E">
              <w:rPr>
                <w:sz w:val="20"/>
                <w:szCs w:val="20"/>
              </w:rPr>
              <w:t>through construction phase activity (limited project level data available)</w:t>
            </w:r>
          </w:p>
        </w:tc>
        <w:tc>
          <w:tcPr>
            <w:tcW w:w="1276" w:type="dxa"/>
          </w:tcPr>
          <w:p w:rsidR="00A21269" w:rsidRPr="005F4B46" w:rsidRDefault="00E31D7C" w:rsidP="00DF34BD">
            <w:pPr>
              <w:pStyle w:val="NoSpacing"/>
              <w:jc w:val="both"/>
              <w:rPr>
                <w:sz w:val="20"/>
                <w:szCs w:val="20"/>
              </w:rPr>
            </w:pPr>
            <w:r>
              <w:rPr>
                <w:sz w:val="20"/>
                <w:szCs w:val="20"/>
              </w:rPr>
              <w:t>330</w:t>
            </w:r>
          </w:p>
        </w:tc>
        <w:tc>
          <w:tcPr>
            <w:tcW w:w="1508" w:type="dxa"/>
          </w:tcPr>
          <w:p w:rsidR="00A21269" w:rsidRPr="005F4B46" w:rsidRDefault="00E31D7C" w:rsidP="00DF34BD">
            <w:pPr>
              <w:pStyle w:val="NoSpacing"/>
              <w:jc w:val="both"/>
              <w:rPr>
                <w:sz w:val="20"/>
                <w:szCs w:val="20"/>
              </w:rPr>
            </w:pPr>
            <w:r>
              <w:rPr>
                <w:sz w:val="20"/>
                <w:szCs w:val="20"/>
              </w:rPr>
              <w:t>£9,490,140</w:t>
            </w:r>
          </w:p>
        </w:tc>
      </w:tr>
      <w:tr w:rsidR="002F7B3D" w:rsidTr="00DF34BD">
        <w:tc>
          <w:tcPr>
            <w:tcW w:w="6232" w:type="dxa"/>
          </w:tcPr>
          <w:p w:rsidR="00A21269" w:rsidRPr="005F4B46" w:rsidRDefault="00E31D7C" w:rsidP="00DF34BD">
            <w:pPr>
              <w:pStyle w:val="NoSpacing"/>
              <w:jc w:val="both"/>
              <w:rPr>
                <w:sz w:val="20"/>
                <w:szCs w:val="20"/>
              </w:rPr>
            </w:pPr>
            <w:r w:rsidRPr="005F4B46">
              <w:rPr>
                <w:sz w:val="20"/>
                <w:szCs w:val="20"/>
              </w:rPr>
              <w:t>Number of work placements or trails offered to unemployed Lancashire residents.</w:t>
            </w:r>
          </w:p>
        </w:tc>
        <w:tc>
          <w:tcPr>
            <w:tcW w:w="1276" w:type="dxa"/>
          </w:tcPr>
          <w:p w:rsidR="00A21269" w:rsidRPr="005F4B46" w:rsidRDefault="00E31D7C" w:rsidP="00DF34BD">
            <w:pPr>
              <w:pStyle w:val="NoSpacing"/>
              <w:jc w:val="both"/>
              <w:rPr>
                <w:sz w:val="20"/>
                <w:szCs w:val="20"/>
              </w:rPr>
            </w:pPr>
            <w:r>
              <w:rPr>
                <w:sz w:val="20"/>
                <w:szCs w:val="20"/>
              </w:rPr>
              <w:t>87</w:t>
            </w:r>
          </w:p>
        </w:tc>
        <w:tc>
          <w:tcPr>
            <w:tcW w:w="1508" w:type="dxa"/>
          </w:tcPr>
          <w:p w:rsidR="00A21269" w:rsidRPr="005F4B46" w:rsidRDefault="00E31D7C" w:rsidP="00DF34BD">
            <w:pPr>
              <w:pStyle w:val="NoSpacing"/>
              <w:jc w:val="both"/>
              <w:rPr>
                <w:sz w:val="20"/>
                <w:szCs w:val="20"/>
              </w:rPr>
            </w:pPr>
            <w:r>
              <w:rPr>
                <w:sz w:val="20"/>
                <w:szCs w:val="20"/>
              </w:rPr>
              <w:t>£51,834</w:t>
            </w:r>
            <w:r w:rsidRPr="00E926FD">
              <w:rPr>
                <w:sz w:val="20"/>
                <w:szCs w:val="20"/>
              </w:rPr>
              <w:tab/>
            </w:r>
          </w:p>
        </w:tc>
      </w:tr>
      <w:tr w:rsidR="002F7B3D" w:rsidTr="00DF34BD">
        <w:tc>
          <w:tcPr>
            <w:tcW w:w="6232" w:type="dxa"/>
          </w:tcPr>
          <w:p w:rsidR="00A21269" w:rsidRPr="005F4B46" w:rsidRDefault="00E31D7C" w:rsidP="00DF34BD">
            <w:pPr>
              <w:pStyle w:val="NoSpacing"/>
              <w:jc w:val="both"/>
              <w:rPr>
                <w:sz w:val="20"/>
                <w:szCs w:val="20"/>
              </w:rPr>
            </w:pPr>
            <w:r w:rsidRPr="00E926FD">
              <w:rPr>
                <w:sz w:val="20"/>
                <w:szCs w:val="20"/>
              </w:rPr>
              <w:t>Working days committe</w:t>
            </w:r>
            <w:r w:rsidRPr="00E926FD">
              <w:rPr>
                <w:sz w:val="20"/>
                <w:szCs w:val="20"/>
              </w:rPr>
              <w:t>d from business volunteers to mentor NEET ('not in education, employment or training') young people (16-18 year olds).</w:t>
            </w:r>
          </w:p>
        </w:tc>
        <w:tc>
          <w:tcPr>
            <w:tcW w:w="1276" w:type="dxa"/>
          </w:tcPr>
          <w:p w:rsidR="00A21269" w:rsidRPr="005F4B46" w:rsidRDefault="00E31D7C" w:rsidP="00DF34BD">
            <w:pPr>
              <w:pStyle w:val="NoSpacing"/>
              <w:jc w:val="both"/>
              <w:rPr>
                <w:sz w:val="20"/>
                <w:szCs w:val="20"/>
              </w:rPr>
            </w:pPr>
            <w:r>
              <w:rPr>
                <w:sz w:val="20"/>
                <w:szCs w:val="20"/>
              </w:rPr>
              <w:t>21</w:t>
            </w:r>
          </w:p>
        </w:tc>
        <w:tc>
          <w:tcPr>
            <w:tcW w:w="1508" w:type="dxa"/>
          </w:tcPr>
          <w:p w:rsidR="00A21269" w:rsidRPr="005F4B46" w:rsidRDefault="00E31D7C" w:rsidP="00DF34BD">
            <w:pPr>
              <w:pStyle w:val="NoSpacing"/>
              <w:jc w:val="both"/>
              <w:rPr>
                <w:sz w:val="20"/>
                <w:szCs w:val="20"/>
              </w:rPr>
            </w:pPr>
            <w:r w:rsidRPr="00E926FD">
              <w:rPr>
                <w:sz w:val="20"/>
                <w:szCs w:val="20"/>
              </w:rPr>
              <w:t>£13,859</w:t>
            </w:r>
            <w:r w:rsidRPr="00E926FD">
              <w:rPr>
                <w:sz w:val="20"/>
                <w:szCs w:val="20"/>
              </w:rPr>
              <w:tab/>
            </w:r>
          </w:p>
        </w:tc>
      </w:tr>
      <w:tr w:rsidR="002F7B3D" w:rsidTr="00DF34BD">
        <w:trPr>
          <w:trHeight w:val="431"/>
        </w:trPr>
        <w:tc>
          <w:tcPr>
            <w:tcW w:w="6232" w:type="dxa"/>
          </w:tcPr>
          <w:p w:rsidR="00A21269" w:rsidRPr="005F4B46" w:rsidRDefault="00E31D7C" w:rsidP="00DF34BD">
            <w:pPr>
              <w:pStyle w:val="NoSpacing"/>
              <w:jc w:val="both"/>
              <w:rPr>
                <w:sz w:val="20"/>
                <w:szCs w:val="20"/>
              </w:rPr>
            </w:pPr>
            <w:r w:rsidRPr="00A56E5E">
              <w:rPr>
                <w:sz w:val="20"/>
                <w:szCs w:val="20"/>
              </w:rPr>
              <w:t>Number of employment opportunities offered to Lancashire residents that are unemployed or at a disadvantage.</w:t>
            </w:r>
          </w:p>
        </w:tc>
        <w:tc>
          <w:tcPr>
            <w:tcW w:w="1276" w:type="dxa"/>
          </w:tcPr>
          <w:p w:rsidR="00A21269" w:rsidRPr="005F4B46" w:rsidRDefault="00E31D7C" w:rsidP="00DF34BD">
            <w:pPr>
              <w:pStyle w:val="NoSpacing"/>
              <w:jc w:val="both"/>
              <w:rPr>
                <w:sz w:val="20"/>
                <w:szCs w:val="20"/>
              </w:rPr>
            </w:pPr>
            <w:r>
              <w:rPr>
                <w:sz w:val="20"/>
                <w:szCs w:val="20"/>
              </w:rPr>
              <w:t>45</w:t>
            </w:r>
          </w:p>
        </w:tc>
        <w:tc>
          <w:tcPr>
            <w:tcW w:w="1508" w:type="dxa"/>
          </w:tcPr>
          <w:p w:rsidR="00A21269" w:rsidRPr="005F4B46" w:rsidRDefault="00E31D7C" w:rsidP="00DF34BD">
            <w:pPr>
              <w:pStyle w:val="NoSpacing"/>
              <w:jc w:val="both"/>
              <w:rPr>
                <w:sz w:val="20"/>
                <w:szCs w:val="20"/>
              </w:rPr>
            </w:pPr>
            <w:r w:rsidRPr="00A56E5E">
              <w:rPr>
                <w:sz w:val="20"/>
                <w:szCs w:val="20"/>
              </w:rPr>
              <w:t>£677,652.75</w:t>
            </w:r>
          </w:p>
        </w:tc>
      </w:tr>
    </w:tbl>
    <w:p w:rsidR="00A21269" w:rsidRDefault="00E31D7C" w:rsidP="00A21269">
      <w:pPr>
        <w:ind w:left="0" w:firstLine="0"/>
        <w:jc w:val="both"/>
      </w:pPr>
    </w:p>
    <w:p w:rsidR="00A21269" w:rsidRPr="00F918D1" w:rsidRDefault="00E31D7C" w:rsidP="00A21269">
      <w:pPr>
        <w:ind w:left="0" w:firstLine="0"/>
        <w:jc w:val="both"/>
        <w:rPr>
          <w:b/>
        </w:rPr>
      </w:pPr>
      <w:r w:rsidRPr="00F918D1">
        <w:rPr>
          <w:b/>
        </w:rPr>
        <w:t>Skilled and Productive Workforce</w:t>
      </w:r>
    </w:p>
    <w:tbl>
      <w:tblPr>
        <w:tblStyle w:val="TableGrid"/>
        <w:tblW w:w="0" w:type="auto"/>
        <w:tblLook w:val="04A0" w:firstRow="1" w:lastRow="0" w:firstColumn="1" w:lastColumn="0" w:noHBand="0" w:noVBand="1"/>
      </w:tblPr>
      <w:tblGrid>
        <w:gridCol w:w="6232"/>
        <w:gridCol w:w="1276"/>
        <w:gridCol w:w="1508"/>
      </w:tblGrid>
      <w:tr w:rsidR="002F7B3D" w:rsidTr="00DF34BD">
        <w:tc>
          <w:tcPr>
            <w:tcW w:w="6232" w:type="dxa"/>
          </w:tcPr>
          <w:p w:rsidR="00A21269" w:rsidRPr="00F918D1" w:rsidRDefault="00E31D7C" w:rsidP="00DF34BD">
            <w:pPr>
              <w:pStyle w:val="NoSpacing"/>
              <w:jc w:val="both"/>
              <w:rPr>
                <w:b/>
                <w:sz w:val="20"/>
                <w:szCs w:val="20"/>
              </w:rPr>
            </w:pPr>
            <w:r w:rsidRPr="00F918D1">
              <w:rPr>
                <w:b/>
                <w:sz w:val="20"/>
                <w:szCs w:val="20"/>
              </w:rPr>
              <w:t>Metric</w:t>
            </w:r>
          </w:p>
        </w:tc>
        <w:tc>
          <w:tcPr>
            <w:tcW w:w="1276" w:type="dxa"/>
          </w:tcPr>
          <w:p w:rsidR="00A21269" w:rsidRPr="00F918D1" w:rsidRDefault="00E31D7C" w:rsidP="00DF34BD">
            <w:pPr>
              <w:pStyle w:val="NoSpacing"/>
              <w:jc w:val="both"/>
              <w:rPr>
                <w:b/>
                <w:sz w:val="20"/>
                <w:szCs w:val="20"/>
              </w:rPr>
            </w:pPr>
            <w:r w:rsidRPr="00F918D1">
              <w:rPr>
                <w:b/>
                <w:sz w:val="20"/>
                <w:szCs w:val="20"/>
              </w:rPr>
              <w:t>To date</w:t>
            </w:r>
          </w:p>
        </w:tc>
        <w:tc>
          <w:tcPr>
            <w:tcW w:w="1508" w:type="dxa"/>
          </w:tcPr>
          <w:p w:rsidR="00A21269" w:rsidRPr="00F918D1" w:rsidRDefault="00E31D7C" w:rsidP="00DF34BD">
            <w:pPr>
              <w:pStyle w:val="NoSpacing"/>
              <w:jc w:val="both"/>
              <w:rPr>
                <w:b/>
                <w:sz w:val="20"/>
                <w:szCs w:val="20"/>
              </w:rPr>
            </w:pPr>
            <w:r w:rsidRPr="00F918D1">
              <w:rPr>
                <w:b/>
                <w:sz w:val="20"/>
                <w:szCs w:val="20"/>
              </w:rPr>
              <w:t>Indicative Social Value</w:t>
            </w:r>
          </w:p>
        </w:tc>
      </w:tr>
      <w:tr w:rsidR="002F7B3D" w:rsidTr="00DF34BD">
        <w:tc>
          <w:tcPr>
            <w:tcW w:w="6232" w:type="dxa"/>
          </w:tcPr>
          <w:p w:rsidR="00A21269" w:rsidRPr="00F918D1" w:rsidRDefault="00E31D7C" w:rsidP="00DF34BD">
            <w:pPr>
              <w:pStyle w:val="NoSpacing"/>
              <w:jc w:val="both"/>
              <w:rPr>
                <w:sz w:val="20"/>
                <w:szCs w:val="20"/>
              </w:rPr>
            </w:pPr>
            <w:r w:rsidRPr="00F918D1">
              <w:rPr>
                <w:sz w:val="20"/>
                <w:szCs w:val="20"/>
              </w:rPr>
              <w:t>Number of apprenticeships (16-18 year old and Adults).</w:t>
            </w:r>
          </w:p>
        </w:tc>
        <w:tc>
          <w:tcPr>
            <w:tcW w:w="1276" w:type="dxa"/>
          </w:tcPr>
          <w:p w:rsidR="00A21269" w:rsidRPr="00F918D1" w:rsidRDefault="00E31D7C" w:rsidP="00DF34BD">
            <w:pPr>
              <w:pStyle w:val="NoSpacing"/>
              <w:jc w:val="both"/>
              <w:rPr>
                <w:sz w:val="20"/>
                <w:szCs w:val="20"/>
              </w:rPr>
            </w:pPr>
            <w:r>
              <w:rPr>
                <w:sz w:val="20"/>
                <w:szCs w:val="20"/>
              </w:rPr>
              <w:t>601</w:t>
            </w:r>
          </w:p>
        </w:tc>
        <w:tc>
          <w:tcPr>
            <w:tcW w:w="1508" w:type="dxa"/>
          </w:tcPr>
          <w:p w:rsidR="00A21269" w:rsidRPr="00F918D1" w:rsidRDefault="00E31D7C" w:rsidP="00DF34BD">
            <w:pPr>
              <w:pStyle w:val="NoSpacing"/>
              <w:jc w:val="both"/>
              <w:rPr>
                <w:sz w:val="20"/>
                <w:szCs w:val="20"/>
              </w:rPr>
            </w:pPr>
            <w:r w:rsidRPr="005550B4">
              <w:rPr>
                <w:sz w:val="20"/>
                <w:szCs w:val="20"/>
              </w:rPr>
              <w:t>£5,525,353.60</w:t>
            </w:r>
            <w:r w:rsidRPr="00F918D1">
              <w:rPr>
                <w:sz w:val="20"/>
                <w:szCs w:val="20"/>
              </w:rPr>
              <w:tab/>
            </w:r>
          </w:p>
        </w:tc>
      </w:tr>
      <w:tr w:rsidR="002F7B3D" w:rsidTr="00DF34BD">
        <w:tc>
          <w:tcPr>
            <w:tcW w:w="6232" w:type="dxa"/>
          </w:tcPr>
          <w:p w:rsidR="00A21269" w:rsidRPr="00F918D1" w:rsidRDefault="00E31D7C" w:rsidP="00DF34BD">
            <w:pPr>
              <w:pStyle w:val="NoSpacing"/>
              <w:jc w:val="both"/>
              <w:rPr>
                <w:sz w:val="20"/>
                <w:szCs w:val="20"/>
              </w:rPr>
            </w:pPr>
            <w:r w:rsidRPr="00F918D1">
              <w:rPr>
                <w:sz w:val="20"/>
                <w:szCs w:val="20"/>
              </w:rPr>
              <w:t>Commitment to workforce planning and investment in training of employees.</w:t>
            </w:r>
          </w:p>
        </w:tc>
        <w:tc>
          <w:tcPr>
            <w:tcW w:w="1276" w:type="dxa"/>
          </w:tcPr>
          <w:p w:rsidR="00A21269" w:rsidRPr="00F918D1" w:rsidRDefault="00E31D7C" w:rsidP="00DF34BD">
            <w:pPr>
              <w:pStyle w:val="NoSpacing"/>
              <w:jc w:val="both"/>
              <w:rPr>
                <w:sz w:val="20"/>
                <w:szCs w:val="20"/>
              </w:rPr>
            </w:pPr>
            <w:r w:rsidRPr="005550B4">
              <w:rPr>
                <w:sz w:val="20"/>
                <w:szCs w:val="20"/>
              </w:rPr>
              <w:t>1008</w:t>
            </w:r>
            <w:r w:rsidRPr="005550B4">
              <w:rPr>
                <w:sz w:val="20"/>
                <w:szCs w:val="20"/>
              </w:rPr>
              <w:tab/>
            </w:r>
          </w:p>
        </w:tc>
        <w:tc>
          <w:tcPr>
            <w:tcW w:w="1508" w:type="dxa"/>
          </w:tcPr>
          <w:p w:rsidR="00A21269" w:rsidRPr="005550B4" w:rsidRDefault="00E31D7C" w:rsidP="00DF34BD">
            <w:pPr>
              <w:jc w:val="both"/>
              <w:rPr>
                <w:color w:val="auto"/>
                <w:sz w:val="20"/>
                <w:szCs w:val="20"/>
                <w:lang w:eastAsia="en-US"/>
              </w:rPr>
            </w:pPr>
            <w:r w:rsidRPr="005550B4">
              <w:rPr>
                <w:color w:val="auto"/>
                <w:sz w:val="20"/>
                <w:szCs w:val="20"/>
                <w:lang w:eastAsia="en-US"/>
              </w:rPr>
              <w:t>£248,361.12</w:t>
            </w:r>
          </w:p>
          <w:p w:rsidR="00A21269" w:rsidRPr="00F918D1" w:rsidRDefault="00E31D7C" w:rsidP="00DF34BD">
            <w:pPr>
              <w:pStyle w:val="NoSpacing"/>
              <w:jc w:val="both"/>
              <w:rPr>
                <w:sz w:val="20"/>
                <w:szCs w:val="20"/>
              </w:rPr>
            </w:pPr>
          </w:p>
        </w:tc>
      </w:tr>
      <w:tr w:rsidR="002F7B3D" w:rsidTr="00DF34BD">
        <w:tc>
          <w:tcPr>
            <w:tcW w:w="6232" w:type="dxa"/>
          </w:tcPr>
          <w:p w:rsidR="00A21269" w:rsidRPr="00F918D1" w:rsidRDefault="00E31D7C" w:rsidP="00DF34BD">
            <w:pPr>
              <w:pStyle w:val="NoSpacing"/>
              <w:jc w:val="both"/>
              <w:rPr>
                <w:sz w:val="20"/>
                <w:szCs w:val="20"/>
              </w:rPr>
            </w:pPr>
            <w:r w:rsidRPr="00F918D1">
              <w:rPr>
                <w:sz w:val="20"/>
                <w:szCs w:val="20"/>
              </w:rPr>
              <w:t xml:space="preserve">Investment </w:t>
            </w:r>
            <w:r w:rsidRPr="00F918D1">
              <w:rPr>
                <w:sz w:val="20"/>
                <w:szCs w:val="20"/>
              </w:rPr>
              <w:t>in leadership skills</w:t>
            </w:r>
          </w:p>
        </w:tc>
        <w:tc>
          <w:tcPr>
            <w:tcW w:w="1276" w:type="dxa"/>
          </w:tcPr>
          <w:p w:rsidR="00A21269" w:rsidRPr="00F918D1" w:rsidRDefault="00E31D7C" w:rsidP="00DF34BD">
            <w:pPr>
              <w:pStyle w:val="NoSpacing"/>
              <w:jc w:val="both"/>
              <w:rPr>
                <w:sz w:val="20"/>
                <w:szCs w:val="20"/>
              </w:rPr>
            </w:pPr>
            <w:r>
              <w:rPr>
                <w:sz w:val="20"/>
                <w:szCs w:val="20"/>
              </w:rPr>
              <w:t>212</w:t>
            </w:r>
          </w:p>
        </w:tc>
        <w:tc>
          <w:tcPr>
            <w:tcW w:w="1508" w:type="dxa"/>
          </w:tcPr>
          <w:p w:rsidR="00A21269" w:rsidRPr="005550B4" w:rsidRDefault="00E31D7C" w:rsidP="00DF34BD">
            <w:pPr>
              <w:pStyle w:val="NoSpacing"/>
              <w:jc w:val="both"/>
              <w:rPr>
                <w:sz w:val="20"/>
                <w:szCs w:val="20"/>
              </w:rPr>
            </w:pPr>
            <w:r w:rsidRPr="005550B4">
              <w:rPr>
                <w:sz w:val="20"/>
                <w:szCs w:val="20"/>
              </w:rPr>
              <w:t>£1,358,101.68</w:t>
            </w:r>
          </w:p>
          <w:p w:rsidR="00A21269" w:rsidRPr="00F918D1" w:rsidRDefault="00E31D7C" w:rsidP="00DF34BD">
            <w:pPr>
              <w:pStyle w:val="NoSpacing"/>
              <w:jc w:val="both"/>
              <w:rPr>
                <w:sz w:val="20"/>
                <w:szCs w:val="20"/>
              </w:rPr>
            </w:pPr>
            <w:r w:rsidRPr="00F918D1">
              <w:rPr>
                <w:sz w:val="20"/>
                <w:szCs w:val="20"/>
              </w:rPr>
              <w:tab/>
            </w:r>
          </w:p>
        </w:tc>
      </w:tr>
    </w:tbl>
    <w:p w:rsidR="00A21269" w:rsidRDefault="00E31D7C" w:rsidP="00A21269">
      <w:pPr>
        <w:ind w:left="0" w:firstLine="0"/>
        <w:jc w:val="both"/>
      </w:pPr>
    </w:p>
    <w:p w:rsidR="00A21269" w:rsidRPr="003E477D" w:rsidRDefault="00E31D7C" w:rsidP="00A21269">
      <w:pPr>
        <w:ind w:left="0" w:firstLine="0"/>
        <w:jc w:val="both"/>
        <w:rPr>
          <w:b/>
        </w:rPr>
      </w:pPr>
      <w:r w:rsidRPr="003E477D">
        <w:rPr>
          <w:b/>
        </w:rPr>
        <w:t>Community Benefits</w:t>
      </w:r>
    </w:p>
    <w:tbl>
      <w:tblPr>
        <w:tblStyle w:val="TableGrid"/>
        <w:tblW w:w="0" w:type="auto"/>
        <w:tblLook w:val="04A0" w:firstRow="1" w:lastRow="0" w:firstColumn="1" w:lastColumn="0" w:noHBand="0" w:noVBand="1"/>
      </w:tblPr>
      <w:tblGrid>
        <w:gridCol w:w="6232"/>
        <w:gridCol w:w="1276"/>
        <w:gridCol w:w="1508"/>
      </w:tblGrid>
      <w:tr w:rsidR="002F7B3D" w:rsidTr="00DF34BD">
        <w:tc>
          <w:tcPr>
            <w:tcW w:w="6232" w:type="dxa"/>
          </w:tcPr>
          <w:p w:rsidR="00A21269" w:rsidRPr="00E926FD" w:rsidRDefault="00E31D7C" w:rsidP="00DF34BD">
            <w:pPr>
              <w:pStyle w:val="NoSpacing"/>
              <w:jc w:val="both"/>
              <w:rPr>
                <w:b/>
                <w:sz w:val="20"/>
                <w:szCs w:val="20"/>
              </w:rPr>
            </w:pPr>
            <w:r w:rsidRPr="00E926FD">
              <w:rPr>
                <w:b/>
                <w:sz w:val="20"/>
                <w:szCs w:val="20"/>
              </w:rPr>
              <w:t>Metric</w:t>
            </w:r>
          </w:p>
        </w:tc>
        <w:tc>
          <w:tcPr>
            <w:tcW w:w="1276" w:type="dxa"/>
          </w:tcPr>
          <w:p w:rsidR="00A21269" w:rsidRPr="00E926FD" w:rsidRDefault="00E31D7C" w:rsidP="00DF34BD">
            <w:pPr>
              <w:pStyle w:val="NoSpacing"/>
              <w:jc w:val="both"/>
              <w:rPr>
                <w:b/>
                <w:sz w:val="20"/>
                <w:szCs w:val="20"/>
              </w:rPr>
            </w:pPr>
            <w:r w:rsidRPr="00E926FD">
              <w:rPr>
                <w:b/>
                <w:sz w:val="20"/>
                <w:szCs w:val="20"/>
              </w:rPr>
              <w:t>To date</w:t>
            </w:r>
          </w:p>
        </w:tc>
        <w:tc>
          <w:tcPr>
            <w:tcW w:w="1508" w:type="dxa"/>
          </w:tcPr>
          <w:p w:rsidR="00A21269" w:rsidRPr="00E926FD" w:rsidRDefault="00E31D7C" w:rsidP="00DF34BD">
            <w:pPr>
              <w:pStyle w:val="NoSpacing"/>
              <w:jc w:val="both"/>
              <w:rPr>
                <w:b/>
                <w:sz w:val="20"/>
                <w:szCs w:val="20"/>
              </w:rPr>
            </w:pPr>
            <w:r w:rsidRPr="00E926FD">
              <w:rPr>
                <w:b/>
                <w:sz w:val="20"/>
                <w:szCs w:val="20"/>
              </w:rPr>
              <w:t>Indicative Social Value</w:t>
            </w:r>
          </w:p>
        </w:tc>
      </w:tr>
      <w:tr w:rsidR="002F7B3D" w:rsidTr="00DF34BD">
        <w:tc>
          <w:tcPr>
            <w:tcW w:w="6232" w:type="dxa"/>
          </w:tcPr>
          <w:p w:rsidR="00A21269" w:rsidRPr="005F4B46" w:rsidRDefault="00E31D7C" w:rsidP="00DF34BD">
            <w:pPr>
              <w:pStyle w:val="NoSpacing"/>
              <w:jc w:val="both"/>
              <w:rPr>
                <w:sz w:val="20"/>
                <w:szCs w:val="20"/>
              </w:rPr>
            </w:pPr>
            <w:r w:rsidRPr="00D550BB">
              <w:rPr>
                <w:sz w:val="20"/>
                <w:szCs w:val="20"/>
              </w:rPr>
              <w:t>Community based projects driven by the local communities in which the project is based.</w:t>
            </w:r>
          </w:p>
        </w:tc>
        <w:tc>
          <w:tcPr>
            <w:tcW w:w="1276" w:type="dxa"/>
          </w:tcPr>
          <w:p w:rsidR="00A21269" w:rsidRPr="005F4B46" w:rsidRDefault="00E31D7C" w:rsidP="00DF34BD">
            <w:pPr>
              <w:pStyle w:val="NoSpacing"/>
              <w:jc w:val="both"/>
              <w:rPr>
                <w:sz w:val="20"/>
                <w:szCs w:val="20"/>
              </w:rPr>
            </w:pPr>
            <w:r>
              <w:rPr>
                <w:sz w:val="20"/>
                <w:szCs w:val="20"/>
              </w:rPr>
              <w:t>116</w:t>
            </w:r>
          </w:p>
        </w:tc>
        <w:tc>
          <w:tcPr>
            <w:tcW w:w="1508" w:type="dxa"/>
          </w:tcPr>
          <w:p w:rsidR="00A21269" w:rsidRPr="005F4B46" w:rsidRDefault="00E31D7C" w:rsidP="00DF34BD">
            <w:pPr>
              <w:pStyle w:val="NoSpacing"/>
              <w:jc w:val="both"/>
              <w:rPr>
                <w:sz w:val="20"/>
                <w:szCs w:val="20"/>
              </w:rPr>
            </w:pPr>
            <w:r w:rsidRPr="005550B4">
              <w:rPr>
                <w:sz w:val="20"/>
                <w:szCs w:val="20"/>
              </w:rPr>
              <w:t>£12,017.60</w:t>
            </w:r>
          </w:p>
        </w:tc>
      </w:tr>
      <w:tr w:rsidR="002F7B3D" w:rsidTr="00DF34BD">
        <w:tc>
          <w:tcPr>
            <w:tcW w:w="6232" w:type="dxa"/>
          </w:tcPr>
          <w:p w:rsidR="00A21269" w:rsidRPr="00D550BB" w:rsidRDefault="00E31D7C" w:rsidP="00DF34BD">
            <w:pPr>
              <w:pStyle w:val="NoSpacing"/>
              <w:jc w:val="both"/>
              <w:rPr>
                <w:sz w:val="20"/>
                <w:szCs w:val="20"/>
              </w:rPr>
            </w:pPr>
            <w:r>
              <w:rPr>
                <w:sz w:val="20"/>
                <w:szCs w:val="20"/>
              </w:rPr>
              <w:t>Procurement of local Lancashire based</w:t>
            </w:r>
            <w:r w:rsidRPr="005550B4">
              <w:rPr>
                <w:sz w:val="20"/>
                <w:szCs w:val="20"/>
              </w:rPr>
              <w:t xml:space="preserve"> su</w:t>
            </w:r>
            <w:r>
              <w:rPr>
                <w:sz w:val="20"/>
                <w:szCs w:val="20"/>
              </w:rPr>
              <w:t xml:space="preserve">pply chain through the contract </w:t>
            </w:r>
            <w:r w:rsidRPr="005550B4">
              <w:rPr>
                <w:sz w:val="20"/>
                <w:szCs w:val="20"/>
              </w:rPr>
              <w:t>(limited project level data available)</w:t>
            </w:r>
          </w:p>
        </w:tc>
        <w:tc>
          <w:tcPr>
            <w:tcW w:w="1276" w:type="dxa"/>
          </w:tcPr>
          <w:p w:rsidR="00A21269" w:rsidRPr="005F4B46" w:rsidRDefault="00E31D7C" w:rsidP="00DF34BD">
            <w:pPr>
              <w:pStyle w:val="NoSpacing"/>
              <w:jc w:val="both"/>
              <w:rPr>
                <w:sz w:val="20"/>
                <w:szCs w:val="20"/>
              </w:rPr>
            </w:pPr>
          </w:p>
        </w:tc>
        <w:tc>
          <w:tcPr>
            <w:tcW w:w="1508" w:type="dxa"/>
          </w:tcPr>
          <w:p w:rsidR="00A21269" w:rsidRPr="005F4B46" w:rsidRDefault="00E31D7C" w:rsidP="00DF34BD">
            <w:pPr>
              <w:pStyle w:val="NoSpacing"/>
              <w:jc w:val="both"/>
              <w:rPr>
                <w:sz w:val="20"/>
                <w:szCs w:val="20"/>
              </w:rPr>
            </w:pPr>
            <w:r w:rsidRPr="00842EF3">
              <w:rPr>
                <w:sz w:val="20"/>
                <w:szCs w:val="20"/>
              </w:rPr>
              <w:t>£8,411,670.95</w:t>
            </w:r>
          </w:p>
        </w:tc>
      </w:tr>
      <w:tr w:rsidR="002F7B3D" w:rsidTr="00DF34BD">
        <w:tc>
          <w:tcPr>
            <w:tcW w:w="6232" w:type="dxa"/>
          </w:tcPr>
          <w:p w:rsidR="00A21269" w:rsidRPr="005F4B46" w:rsidRDefault="00E31D7C" w:rsidP="00DF34BD">
            <w:pPr>
              <w:pStyle w:val="NoSpacing"/>
              <w:jc w:val="both"/>
              <w:rPr>
                <w:sz w:val="20"/>
                <w:szCs w:val="20"/>
              </w:rPr>
            </w:pPr>
            <w:r w:rsidRPr="00D550BB">
              <w:rPr>
                <w:sz w:val="20"/>
                <w:szCs w:val="20"/>
              </w:rPr>
              <w:t>Procurement and commissioning of local SMEs and social enterprises / third sector organisations</w:t>
            </w:r>
            <w:r>
              <w:rPr>
                <w:sz w:val="20"/>
                <w:szCs w:val="20"/>
              </w:rPr>
              <w:t xml:space="preserve"> </w:t>
            </w:r>
            <w:r w:rsidRPr="007D5148">
              <w:rPr>
                <w:sz w:val="20"/>
                <w:szCs w:val="20"/>
              </w:rPr>
              <w:t>(limited project level data available)</w:t>
            </w:r>
          </w:p>
        </w:tc>
        <w:tc>
          <w:tcPr>
            <w:tcW w:w="1276" w:type="dxa"/>
          </w:tcPr>
          <w:p w:rsidR="00A21269" w:rsidRPr="005F4B46" w:rsidRDefault="00E31D7C" w:rsidP="00DF34BD">
            <w:pPr>
              <w:pStyle w:val="NoSpacing"/>
              <w:jc w:val="both"/>
              <w:rPr>
                <w:sz w:val="20"/>
                <w:szCs w:val="20"/>
              </w:rPr>
            </w:pPr>
          </w:p>
        </w:tc>
        <w:tc>
          <w:tcPr>
            <w:tcW w:w="1508" w:type="dxa"/>
          </w:tcPr>
          <w:p w:rsidR="00A21269" w:rsidRPr="005F4B46" w:rsidRDefault="00E31D7C" w:rsidP="00DF34BD">
            <w:pPr>
              <w:pStyle w:val="NoSpacing"/>
              <w:jc w:val="both"/>
              <w:rPr>
                <w:sz w:val="20"/>
                <w:szCs w:val="20"/>
              </w:rPr>
            </w:pPr>
            <w:r w:rsidRPr="00842EF3">
              <w:rPr>
                <w:sz w:val="20"/>
                <w:szCs w:val="20"/>
              </w:rPr>
              <w:t>£2,763,315.95</w:t>
            </w:r>
          </w:p>
        </w:tc>
      </w:tr>
    </w:tbl>
    <w:p w:rsidR="00A21269" w:rsidRDefault="00E31D7C" w:rsidP="00A21269">
      <w:pPr>
        <w:pStyle w:val="NoSpacing"/>
        <w:jc w:val="both"/>
        <w:rPr>
          <w:b/>
        </w:rPr>
      </w:pPr>
    </w:p>
    <w:p w:rsidR="00A21269" w:rsidRDefault="00E31D7C" w:rsidP="00A21269">
      <w:pPr>
        <w:pStyle w:val="NoSpacing"/>
        <w:numPr>
          <w:ilvl w:val="1"/>
          <w:numId w:val="4"/>
        </w:numPr>
        <w:jc w:val="both"/>
      </w:pPr>
      <w:r w:rsidRPr="001A1CD3">
        <w:t>In conclusion, th</w:t>
      </w:r>
      <w:r w:rsidRPr="001A1CD3">
        <w:t>e Growth Deal programme is delivering in line with profile across the suite of social value metrics. Using the National TOM's methodology, the total Social Value generated through the delivery of the projec</w:t>
      </w:r>
      <w:r>
        <w:t xml:space="preserve">t currently stands at </w:t>
      </w:r>
      <w:r w:rsidRPr="008D211C">
        <w:t>£25,984,286.81</w:t>
      </w:r>
      <w:r>
        <w:t xml:space="preserve"> which represe</w:t>
      </w:r>
      <w:r>
        <w:t xml:space="preserve">nts a substantial increase from the figure of </w:t>
      </w:r>
      <w:r w:rsidRPr="004538EC">
        <w:t>£5,510,861</w:t>
      </w:r>
      <w:r>
        <w:t xml:space="preserve"> reported for 2017/18. </w:t>
      </w:r>
    </w:p>
    <w:p w:rsidR="00A21269" w:rsidRDefault="00E31D7C" w:rsidP="00A21269">
      <w:pPr>
        <w:pStyle w:val="ListParagraph"/>
        <w:jc w:val="both"/>
      </w:pPr>
    </w:p>
    <w:p w:rsidR="00A21269" w:rsidRDefault="00E31D7C" w:rsidP="00A21269">
      <w:pPr>
        <w:pStyle w:val="NoSpacing"/>
        <w:numPr>
          <w:ilvl w:val="1"/>
          <w:numId w:val="4"/>
        </w:numPr>
        <w:jc w:val="both"/>
      </w:pPr>
      <w:r>
        <w:t>As outlined in the report to the Growth Deal Management Board in December 2018 these</w:t>
      </w:r>
      <w:r w:rsidRPr="001A1CD3">
        <w:t xml:space="preserve"> figure</w:t>
      </w:r>
      <w:r>
        <w:t>s</w:t>
      </w:r>
      <w:r w:rsidRPr="001A1CD3">
        <w:t xml:space="preserve"> </w:t>
      </w:r>
      <w:r>
        <w:t>did</w:t>
      </w:r>
      <w:r w:rsidRPr="001A1CD3">
        <w:t xml:space="preserve"> not</w:t>
      </w:r>
      <w:r>
        <w:t xml:space="preserve">, in the main </w:t>
      </w:r>
      <w:r w:rsidRPr="001A1CD3">
        <w:t xml:space="preserve">include </w:t>
      </w:r>
      <w:r>
        <w:t>d</w:t>
      </w:r>
      <w:r w:rsidRPr="001A1CD3">
        <w:t xml:space="preserve">ata for local </w:t>
      </w:r>
      <w:r>
        <w:t xml:space="preserve">labour, local </w:t>
      </w:r>
      <w:r w:rsidRPr="001A1CD3">
        <w:t>supply chain spend and S</w:t>
      </w:r>
      <w:r w:rsidRPr="001A1CD3">
        <w:t>ME</w:t>
      </w:r>
      <w:r>
        <w:t xml:space="preserve"> spend. These increases in social value delivered through the Growth Deal programme are attributable largely to improved monitoring and reporting in the delivery of outputs and activity.</w:t>
      </w:r>
    </w:p>
    <w:p w:rsidR="00A21269" w:rsidRDefault="00E31D7C" w:rsidP="00A21269">
      <w:pPr>
        <w:pStyle w:val="ListParagraph"/>
        <w:jc w:val="both"/>
      </w:pPr>
    </w:p>
    <w:p w:rsidR="00A21269" w:rsidRPr="00E31D7C" w:rsidRDefault="00E31D7C" w:rsidP="00A21269">
      <w:pPr>
        <w:pStyle w:val="NoSpacing"/>
        <w:numPr>
          <w:ilvl w:val="0"/>
          <w:numId w:val="4"/>
        </w:numPr>
        <w:jc w:val="both"/>
        <w:rPr>
          <w:b/>
        </w:rPr>
      </w:pPr>
      <w:bookmarkStart w:id="0" w:name="_GoBack"/>
      <w:r w:rsidRPr="00E31D7C">
        <w:rPr>
          <w:b/>
        </w:rPr>
        <w:t>Social Value Case Studies</w:t>
      </w:r>
    </w:p>
    <w:bookmarkEnd w:id="0"/>
    <w:p w:rsidR="00A21269" w:rsidRDefault="00E31D7C" w:rsidP="00A21269">
      <w:pPr>
        <w:pStyle w:val="NoSpacing"/>
        <w:ind w:left="624"/>
        <w:jc w:val="both"/>
      </w:pPr>
    </w:p>
    <w:p w:rsidR="00A21269" w:rsidRDefault="00E31D7C" w:rsidP="00A21269">
      <w:pPr>
        <w:pStyle w:val="NoSpacing"/>
        <w:numPr>
          <w:ilvl w:val="1"/>
          <w:numId w:val="4"/>
        </w:numPr>
        <w:jc w:val="both"/>
      </w:pPr>
      <w:r>
        <w:t xml:space="preserve">As requested at the Growth Deal Management Board in December 2018 two case studies have been developed to highlight the added social value delivered through the Blackpool Tramway Extension project and the Engineering Innovation Centre at UCLan (Appendices </w:t>
      </w:r>
      <w:r>
        <w:t xml:space="preserve">B and C respectively). Further case studies will be developed for Growth Deal 'Exemplar' projects as they near completion. </w:t>
      </w:r>
    </w:p>
    <w:p w:rsidR="00A21269" w:rsidRDefault="00E31D7C" w:rsidP="00A3358A">
      <w:pPr>
        <w:ind w:left="0" w:firstLine="0"/>
      </w:pPr>
    </w:p>
    <w:p w:rsidR="00386D34" w:rsidRDefault="00E31D7C"/>
    <w:p w:rsidR="00B959D4" w:rsidRPr="00ED571D" w:rsidRDefault="00E31D7C" w:rsidP="00B959D4">
      <w:pPr>
        <w:keepNext/>
        <w:keepLines/>
        <w:spacing w:before="40" w:after="0"/>
        <w:outlineLvl w:val="4"/>
        <w:rPr>
          <w:rFonts w:eastAsiaTheme="majorEastAsia" w:cstheme="majorBidi"/>
          <w:b/>
          <w:color w:val="auto"/>
        </w:rPr>
      </w:pPr>
      <w:r w:rsidRPr="00ED571D">
        <w:rPr>
          <w:rFonts w:eastAsiaTheme="majorEastAsia" w:cstheme="majorBidi"/>
          <w:b/>
          <w:color w:val="auto"/>
        </w:rPr>
        <w:lastRenderedPageBreak/>
        <w:t>List of Background Papers</w:t>
      </w:r>
    </w:p>
    <w:p w:rsidR="00B959D4" w:rsidRPr="00ED571D" w:rsidRDefault="00E31D7C" w:rsidP="00B959D4"/>
    <w:tbl>
      <w:tblPr>
        <w:tblW w:w="0" w:type="auto"/>
        <w:tblLayout w:type="fixed"/>
        <w:tblLook w:val="0000" w:firstRow="0" w:lastRow="0" w:firstColumn="0" w:lastColumn="0" w:noHBand="0" w:noVBand="0"/>
      </w:tblPr>
      <w:tblGrid>
        <w:gridCol w:w="3510"/>
        <w:gridCol w:w="2492"/>
        <w:gridCol w:w="3178"/>
      </w:tblGrid>
      <w:tr w:rsidR="002F7B3D" w:rsidTr="00331DDF">
        <w:tc>
          <w:tcPr>
            <w:tcW w:w="3510" w:type="dxa"/>
          </w:tcPr>
          <w:p w:rsidR="00B959D4" w:rsidRPr="00ED571D" w:rsidRDefault="00E31D7C"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B959D4" w:rsidRPr="00ED571D" w:rsidRDefault="00E31D7C"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B959D4" w:rsidRPr="00ED571D" w:rsidRDefault="00E31D7C"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2F7B3D" w:rsidTr="00331DDF">
        <w:tc>
          <w:tcPr>
            <w:tcW w:w="3510" w:type="dxa"/>
          </w:tcPr>
          <w:p w:rsidR="00B959D4" w:rsidRPr="00ED571D" w:rsidRDefault="00E31D7C" w:rsidP="00331DDF">
            <w:pPr>
              <w:rPr>
                <w:color w:val="auto"/>
              </w:rPr>
            </w:pPr>
          </w:p>
          <w:p w:rsidR="00B959D4" w:rsidRPr="00ED571D" w:rsidRDefault="0077253A" w:rsidP="0077253A">
            <w:pPr>
              <w:rPr>
                <w:color w:val="auto"/>
              </w:rPr>
            </w:pPr>
            <w:r>
              <w:rPr>
                <w:color w:val="auto"/>
              </w:rPr>
              <w:t>None</w:t>
            </w:r>
          </w:p>
        </w:tc>
        <w:tc>
          <w:tcPr>
            <w:tcW w:w="2492" w:type="dxa"/>
          </w:tcPr>
          <w:p w:rsidR="00B959D4" w:rsidRPr="00ED571D" w:rsidRDefault="00E31D7C" w:rsidP="00331DDF">
            <w:pPr>
              <w:rPr>
                <w:color w:val="auto"/>
              </w:rPr>
            </w:pPr>
          </w:p>
        </w:tc>
        <w:tc>
          <w:tcPr>
            <w:tcW w:w="3178" w:type="dxa"/>
          </w:tcPr>
          <w:p w:rsidR="00B959D4" w:rsidRPr="00ED571D" w:rsidRDefault="00E31D7C" w:rsidP="00331DDF">
            <w:pPr>
              <w:rPr>
                <w:color w:val="auto"/>
              </w:rPr>
            </w:pPr>
          </w:p>
        </w:tc>
      </w:tr>
      <w:tr w:rsidR="002F7B3D" w:rsidTr="00331DDF">
        <w:trPr>
          <w:cantSplit/>
        </w:trPr>
        <w:tc>
          <w:tcPr>
            <w:tcW w:w="9180" w:type="dxa"/>
            <w:gridSpan w:val="3"/>
          </w:tcPr>
          <w:p w:rsidR="00B959D4" w:rsidRPr="00ED571D" w:rsidRDefault="00E31D7C" w:rsidP="00331DDF"/>
          <w:p w:rsidR="00B959D4" w:rsidRPr="00ED571D" w:rsidRDefault="00E31D7C" w:rsidP="00331DDF">
            <w:r w:rsidRPr="00ED571D">
              <w:t xml:space="preserve">Reason for inclusion in Part II, if appropriate </w:t>
            </w:r>
          </w:p>
          <w:p w:rsidR="00B959D4" w:rsidRPr="00ED571D" w:rsidRDefault="00E31D7C" w:rsidP="00331DDF"/>
          <w:p w:rsidR="00B959D4" w:rsidRPr="00ED571D" w:rsidRDefault="0077253A" w:rsidP="00331DDF">
            <w:pPr>
              <w:rPr>
                <w:color w:val="auto"/>
              </w:rPr>
            </w:pPr>
            <w:r>
              <w:rPr>
                <w:color w:val="auto"/>
              </w:rPr>
              <w:t>none</w:t>
            </w:r>
          </w:p>
          <w:p w:rsidR="00B959D4" w:rsidRPr="00ED571D" w:rsidRDefault="00E31D7C" w:rsidP="00331DDF">
            <w:pPr>
              <w:jc w:val="both"/>
            </w:pPr>
          </w:p>
        </w:tc>
      </w:tr>
    </w:tbl>
    <w:p w:rsidR="00B959D4" w:rsidRDefault="00E31D7C"/>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1D7C">
      <w:pPr>
        <w:spacing w:after="0" w:line="240" w:lineRule="auto"/>
      </w:pPr>
      <w:r>
        <w:separator/>
      </w:r>
    </w:p>
  </w:endnote>
  <w:endnote w:type="continuationSeparator" w:id="0">
    <w:p w:rsidR="00000000" w:rsidRDefault="00E3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1D7C">
      <w:pPr>
        <w:spacing w:after="0" w:line="240" w:lineRule="auto"/>
      </w:pPr>
      <w:r>
        <w:separator/>
      </w:r>
    </w:p>
  </w:footnote>
  <w:footnote w:type="continuationSeparator" w:id="0">
    <w:p w:rsidR="00000000" w:rsidRDefault="00E31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E31D7C">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181115"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71EE3C8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3AA512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D9201BB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6D07C4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A1301A2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8792570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23220F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F3A68C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170093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5B0C2086"/>
    <w:multiLevelType w:val="multilevel"/>
    <w:tmpl w:val="1A2EDF8A"/>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015A9D"/>
    <w:multiLevelType w:val="hybridMultilevel"/>
    <w:tmpl w:val="0F9C224A"/>
    <w:lvl w:ilvl="0" w:tplc="F14A3E42">
      <w:start w:val="1"/>
      <w:numFmt w:val="bullet"/>
      <w:lvlText w:val=""/>
      <w:lvlJc w:val="left"/>
      <w:pPr>
        <w:ind w:left="720" w:hanging="360"/>
      </w:pPr>
      <w:rPr>
        <w:rFonts w:ascii="Symbol" w:hAnsi="Symbol" w:hint="default"/>
      </w:rPr>
    </w:lvl>
    <w:lvl w:ilvl="1" w:tplc="F36E7C82" w:tentative="1">
      <w:start w:val="1"/>
      <w:numFmt w:val="bullet"/>
      <w:lvlText w:val="o"/>
      <w:lvlJc w:val="left"/>
      <w:pPr>
        <w:ind w:left="1440" w:hanging="360"/>
      </w:pPr>
      <w:rPr>
        <w:rFonts w:ascii="Courier New" w:hAnsi="Courier New" w:cs="Courier New" w:hint="default"/>
      </w:rPr>
    </w:lvl>
    <w:lvl w:ilvl="2" w:tplc="0AF49860">
      <w:start w:val="1"/>
      <w:numFmt w:val="bullet"/>
      <w:lvlText w:val=""/>
      <w:lvlJc w:val="left"/>
      <w:pPr>
        <w:ind w:left="2160" w:hanging="360"/>
      </w:pPr>
      <w:rPr>
        <w:rFonts w:ascii="Wingdings" w:hAnsi="Wingdings" w:hint="default"/>
      </w:rPr>
    </w:lvl>
    <w:lvl w:ilvl="3" w:tplc="48067766" w:tentative="1">
      <w:start w:val="1"/>
      <w:numFmt w:val="bullet"/>
      <w:lvlText w:val=""/>
      <w:lvlJc w:val="left"/>
      <w:pPr>
        <w:ind w:left="2880" w:hanging="360"/>
      </w:pPr>
      <w:rPr>
        <w:rFonts w:ascii="Symbol" w:hAnsi="Symbol" w:hint="default"/>
      </w:rPr>
    </w:lvl>
    <w:lvl w:ilvl="4" w:tplc="06960B2E" w:tentative="1">
      <w:start w:val="1"/>
      <w:numFmt w:val="bullet"/>
      <w:lvlText w:val="o"/>
      <w:lvlJc w:val="left"/>
      <w:pPr>
        <w:ind w:left="3600" w:hanging="360"/>
      </w:pPr>
      <w:rPr>
        <w:rFonts w:ascii="Courier New" w:hAnsi="Courier New" w:cs="Courier New" w:hint="default"/>
      </w:rPr>
    </w:lvl>
    <w:lvl w:ilvl="5" w:tplc="28FA6620" w:tentative="1">
      <w:start w:val="1"/>
      <w:numFmt w:val="bullet"/>
      <w:lvlText w:val=""/>
      <w:lvlJc w:val="left"/>
      <w:pPr>
        <w:ind w:left="4320" w:hanging="360"/>
      </w:pPr>
      <w:rPr>
        <w:rFonts w:ascii="Wingdings" w:hAnsi="Wingdings" w:hint="default"/>
      </w:rPr>
    </w:lvl>
    <w:lvl w:ilvl="6" w:tplc="6AEEA652" w:tentative="1">
      <w:start w:val="1"/>
      <w:numFmt w:val="bullet"/>
      <w:lvlText w:val=""/>
      <w:lvlJc w:val="left"/>
      <w:pPr>
        <w:ind w:left="5040" w:hanging="360"/>
      </w:pPr>
      <w:rPr>
        <w:rFonts w:ascii="Symbol" w:hAnsi="Symbol" w:hint="default"/>
      </w:rPr>
    </w:lvl>
    <w:lvl w:ilvl="7" w:tplc="37E48A98" w:tentative="1">
      <w:start w:val="1"/>
      <w:numFmt w:val="bullet"/>
      <w:lvlText w:val="o"/>
      <w:lvlJc w:val="left"/>
      <w:pPr>
        <w:ind w:left="5760" w:hanging="360"/>
      </w:pPr>
      <w:rPr>
        <w:rFonts w:ascii="Courier New" w:hAnsi="Courier New" w:cs="Courier New" w:hint="default"/>
      </w:rPr>
    </w:lvl>
    <w:lvl w:ilvl="8" w:tplc="4FEEC55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3D"/>
    <w:rsid w:val="002F7B3D"/>
    <w:rsid w:val="0077253A"/>
    <w:rsid w:val="00E3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8695"/>
  <w15:docId w15:val="{2F322307-5EB7-4F37-A74D-D548743B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A21269"/>
    <w:rPr>
      <w:color w:val="0563C1" w:themeColor="hyperlink"/>
      <w:u w:val="single"/>
    </w:rPr>
  </w:style>
  <w:style w:type="table" w:styleId="TableGrid">
    <w:name w:val="Table Grid"/>
    <w:basedOn w:val="TableNormal"/>
    <w:uiPriority w:val="39"/>
    <w:rsid w:val="00A2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063D-5E15-478B-B749-B5F0F378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8</cp:revision>
  <dcterms:created xsi:type="dcterms:W3CDTF">2015-06-25T10:41:00Z</dcterms:created>
  <dcterms:modified xsi:type="dcterms:W3CDTF">2019-11-06T11:46:00Z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Growth Deal Management Board</vt:lpwstr>
  </property>
  <property fmtid="{D5CDD505-2E9C-101B-9397-08002B2CF9AE}" pid="3" name="IssueTitle">
    <vt:lpwstr>Growth Deal - Social Value Update Report</vt:lpwstr>
  </property>
  <property fmtid="{D5CDD505-2E9C-101B-9397-08002B2CF9AE}" pid="4" name="LeadOfficer">
    <vt:lpwstr>Anne-Marie Parkinson</vt:lpwstr>
  </property>
  <property fmtid="{D5CDD505-2E9C-101B-9397-08002B2CF9AE}" pid="5" name="LeadOfficerEmail">
    <vt:lpwstr>anne-marie.parkinson@lancashire.gov.uk</vt:lpwstr>
  </property>
  <property fmtid="{D5CDD505-2E9C-101B-9397-08002B2CF9AE}" pid="6" name="LeadOfficerTel">
    <vt:lpwstr/>
  </property>
  <property fmtid="{D5CDD505-2E9C-101B-9397-08002B2CF9AE}" pid="7" name="MeetingDate">
    <vt:lpwstr>Wednesday, 13 November 2019</vt:lpwstr>
  </property>
</Properties>
</file>